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Strategy</w:t>
      </w:r>
      <w:r>
        <w:t xml:space="preserve"> </w:t>
      </w:r>
      <w:r>
        <w:t xml:space="preserve">for</w:t>
      </w:r>
      <w:r>
        <w:t xml:space="preserve"> </w:t>
      </w:r>
      <w:r>
        <w:t xml:space="preserve">Germany</w:t>
      </w:r>
      <w:r>
        <w:t xml:space="preserve"> </w:t>
      </w:r>
      <w:r>
        <w:t xml:space="preserve">Munich</w:t>
      </w:r>
    </w:p>
    <w:bookmarkStart w:id="32" w:name="Xc3413a41e4ac12709ab7d5356d6f6c3b4a1761c"/>
    <w:p>
      <w:pPr>
        <w:pStyle w:val="Heading1"/>
      </w:pPr>
      <w:r>
        <w:t xml:space="preserve">Project Report: Strategic Graphic Design Integration for Germany Munich</w:t>
      </w:r>
    </w:p>
    <w:bookmarkStart w:id="20" w:name="executive-summary"/>
    <w:p>
      <w:pPr>
        <w:pStyle w:val="Heading2"/>
      </w:pPr>
      <w:r>
        <w:t xml:space="preserve">1. Executive Summary</w:t>
      </w:r>
    </w:p>
    <w:p>
      <w:pPr>
        <w:pStyle w:val="FirstParagraph"/>
      </w:pPr>
      <w:r>
        <w:t xml:space="preserve">This Project Report outlines a comprehensive strategic framework for executing high-impact graphic design initiatives within the dynamic market of</w:t>
      </w:r>
      <w:r>
        <w:t xml:space="preserve"> </w:t>
      </w:r>
      <w:r>
        <w:rPr>
          <w:bCs/>
          <w:b/>
        </w:rPr>
        <w:t xml:space="preserve">Germany Munich</w:t>
      </w:r>
      <w:r>
        <w:t xml:space="preserve">. As a leading economic hub in Bavaria, Munich possesses a unique cultural and commercial landscape that demands precision, innovation, and aesthetic excellence. The primary objective of this report is to define the role of the</w:t>
      </w:r>
      <w:r>
        <w:t xml:space="preserve"> </w:t>
      </w:r>
      <w:r>
        <w:rPr>
          <w:bCs/>
          <w:b/>
        </w:rPr>
        <w:t xml:space="preserve">Graphic Designer</w:t>
      </w:r>
      <w:r>
        <w:t xml:space="preserve"> </w:t>
      </w:r>
      <w:r>
        <w:t xml:space="preserve">not merely as an artist, but as a critical strategic partner in navigating the distinct regulatory standards (such as GDPR), corporate expectations for engineering precision, and diverse consumer demographics characteristic of this region. By aligning visual communication strategies with local values, brands can establish robust recognition and trust in one of Europe’s most affluent metropolitan areas.</w:t>
      </w:r>
    </w:p>
    <w:bookmarkEnd w:id="20"/>
    <w:bookmarkStart w:id="21" w:name="introduction-to-the-munich-context"/>
    <w:p>
      <w:pPr>
        <w:pStyle w:val="Heading2"/>
      </w:pPr>
      <w:r>
        <w:t xml:space="preserve">2. Introduction to the Munich Context</w:t>
      </w:r>
    </w:p>
    <w:p>
      <w:pPr>
        <w:pStyle w:val="FirstParagraph"/>
      </w:pPr>
      <w:r>
        <w:rPr>
          <w:bCs/>
          <w:b/>
        </w:rPr>
        <w:t xml:space="preserve">Munich (München)</w:t>
      </w:r>
      <w:r>
        <w:t xml:space="preserve">, the capital of Bavaria, stands as a global center for technology, finance, and innovation while retaining deep traditional roots. The city hosts major international events such as Oktoberfest and numerous tech conferences (e.g., Gitex Europe), creating a dual market that appreciates both heritage and futurism. For any</w:t>
      </w:r>
      <w:r>
        <w:t xml:space="preserve"> </w:t>
      </w:r>
      <w:r>
        <w:rPr>
          <w:bCs/>
          <w:b/>
        </w:rPr>
        <w:t xml:space="preserve">Graphic Designer</w:t>
      </w:r>
      <w:r>
        <w:t xml:space="preserve"> </w:t>
      </w:r>
      <w:r>
        <w:t xml:space="preserve">operating in this sphere, understanding the dichotomy between Bavarian tradition and modern innovation is paramount.</w:t>
      </w:r>
    </w:p>
    <w:p>
      <w:pPr>
        <w:pStyle w:val="BodyText"/>
      </w:pPr>
      <w:r>
        <w:t xml:space="preserve">The commercial environment in Munich is characterized by high standards of quality and reliability. Unlike more casual markets, the German business culture generally prefers clear, structured, and informative communication. Therefore, graphic design here must balance visual appeal with functional clarity. This report advocates for a design philosophy that respects local norms while pushing creative boundaries to capture the attention of a discerning audience.</w:t>
      </w:r>
    </w:p>
    <w:bookmarkEnd w:id="21"/>
    <w:bookmarkStart w:id="24" w:name="X1770ad6872439491be2face7dc7643404913899"/>
    <w:p>
      <w:pPr>
        <w:pStyle w:val="Heading2"/>
      </w:pPr>
      <w:r>
        <w:t xml:space="preserve">3. The Role of the Graphic Designer in Germany Munich</w:t>
      </w:r>
    </w:p>
    <w:p>
      <w:pPr>
        <w:pStyle w:val="FirstParagraph"/>
      </w:pPr>
      <w:r>
        <w:t xml:space="preserve">The position of the</w:t>
      </w:r>
      <w:r>
        <w:t xml:space="preserve"> </w:t>
      </w:r>
      <w:r>
        <w:rPr>
          <w:bCs/>
          <w:b/>
        </w:rPr>
        <w:t xml:space="preserve">Graphic Designer</w:t>
      </w:r>
      <w:r>
        <w:t xml:space="preserve"> </w:t>
      </w:r>
      <w:r>
        <w:t xml:space="preserve">in Munich transcends standard visual production. It requires a nuanced understanding of local semiotics, typography traditions, and consumer psychology. In this context, the designer acts as a bridge between complex corporate messaging and accessible visual language.</w:t>
      </w:r>
    </w:p>
    <w:bookmarkStart w:id="22" w:name="precision-and-clarity"/>
    <w:p>
      <w:pPr>
        <w:pStyle w:val="Heading3"/>
      </w:pPr>
      <w:r>
        <w:t xml:space="preserve">3.1 Precision and Clarity</w:t>
      </w:r>
    </w:p>
    <w:p>
      <w:pPr>
        <w:pStyle w:val="FirstParagraph"/>
      </w:pPr>
      <w:r>
        <w:t xml:space="preserve">Germans generally appreciate efficiency and clarity in communication. Consequently, the</w:t>
      </w:r>
      <w:r>
        <w:t xml:space="preserve"> </w:t>
      </w:r>
      <w:r>
        <w:rPr>
          <w:bCs/>
          <w:b/>
        </w:rPr>
        <w:t xml:space="preserve">Graphic Designer</w:t>
      </w:r>
      <w:r>
        <w:t xml:space="preserve"> </w:t>
      </w:r>
      <w:r>
        <w:t xml:space="preserve">must prioritize legibility and hierarchy in all layouts. Overly abstract or ambiguous designs may be perceived as lacking professionalism. Instead, designs should feature clean lines, ample white space (a concept known as "negative space" usage), and logical flow of information. This approach resonates deeply with the Munich audience, which values transparency and ease of understanding.</w:t>
      </w:r>
    </w:p>
    <w:bookmarkEnd w:id="22"/>
    <w:bookmarkStart w:id="23" w:name="cultural-sensitivity-and-heritage"/>
    <w:p>
      <w:pPr>
        <w:pStyle w:val="Heading3"/>
      </w:pPr>
      <w:r>
        <w:t xml:space="preserve">3.2 Cultural Sensitivity and Heritage</w:t>
      </w:r>
    </w:p>
    <w:p>
      <w:pPr>
        <w:pStyle w:val="FirstParagraph"/>
      </w:pPr>
      <w:r>
        <w:t xml:space="preserve">Incorporating subtle nods to Bavarian culture can significantly enhance brand connection in</w:t>
      </w:r>
      <w:r>
        <w:t xml:space="preserve"> </w:t>
      </w:r>
      <w:r>
        <w:rPr>
          <w:bCs/>
          <w:b/>
        </w:rPr>
        <w:t xml:space="preserve">Munich</w:t>
      </w:r>
      <w:r>
        <w:t xml:space="preserve">. However, this must be done with authenticity rather than cliché. The modern Munichese demographic is international, yet it retains pride in its local identity. A skilled designer will blend traditional motifs (such as specific color palettes or heraldic influences) with contemporary minimalism to create a design that feels both rooted and forward-thinking.</w:t>
      </w:r>
    </w:p>
    <w:bookmarkEnd w:id="23"/>
    <w:bookmarkEnd w:id="24"/>
    <w:bookmarkStart w:id="27" w:name="regulatory-framework-and-compliance"/>
    <w:p>
      <w:pPr>
        <w:pStyle w:val="Heading2"/>
      </w:pPr>
      <w:r>
        <w:t xml:space="preserve">4. Regulatory Framework and Compliance</w:t>
      </w:r>
    </w:p>
    <w:p>
      <w:pPr>
        <w:pStyle w:val="FirstParagraph"/>
      </w:pPr>
      <w:r>
        <w:t xml:space="preserve">A critical aspect of this Project Report addresses the legal environment in which the</w:t>
      </w:r>
      <w:r>
        <w:t xml:space="preserve"> </w:t>
      </w:r>
      <w:r>
        <w:rPr>
          <w:bCs/>
          <w:b/>
        </w:rPr>
        <w:t xml:space="preserve">Graphic Designer</w:t>
      </w:r>
      <w:r>
        <w:t xml:space="preserve">'s work exists in Germany. Compliance is not optional; it is a fundamental component of professional practice.</w:t>
      </w:r>
    </w:p>
    <w:bookmarkStart w:id="25" w:name="gdpr-considerations"/>
    <w:p>
      <w:pPr>
        <w:pStyle w:val="Heading3"/>
      </w:pPr>
      <w:r>
        <w:t xml:space="preserve">4.1 GDPR Considerations</w:t>
      </w:r>
    </w:p>
    <w:p>
      <w:pPr>
        <w:pStyle w:val="FirstParagraph"/>
      </w:pPr>
      <w:r>
        <w:t xml:space="preserve">The General Data Protection Regulation (GDPR) heavily impacts how data and user information are presented visually. When designing web interfaces, applications, or print materials that collect user data in</w:t>
      </w:r>
      <w:r>
        <w:t xml:space="preserve"> </w:t>
      </w:r>
      <w:r>
        <w:rPr>
          <w:bCs/>
          <w:b/>
        </w:rPr>
        <w:t xml:space="preserve">Munich</w:t>
      </w:r>
      <w:r>
        <w:t xml:space="preserve">, the</w:t>
      </w:r>
      <w:r>
        <w:t xml:space="preserve"> </w:t>
      </w:r>
      <w:r>
        <w:rPr>
          <w:bCs/>
          <w:b/>
        </w:rPr>
        <w:t xml:space="preserve">Graphic Designer</w:t>
      </w:r>
      <w:r>
        <w:t xml:space="preserve"> </w:t>
      </w:r>
      <w:r>
        <w:t xml:space="preserve">must ensure that consent mechanisms are clear and unambiguous. Visual design choices regarding pop-ups, cookie banners, and data collection forms must prioritize user control and transparency.</w:t>
      </w:r>
    </w:p>
    <w:bookmarkEnd w:id="25"/>
    <w:bookmarkStart w:id="26" w:name="accessibility-standards-barrierefreiheit"/>
    <w:p>
      <w:pPr>
        <w:pStyle w:val="Heading3"/>
      </w:pPr>
      <w:r>
        <w:t xml:space="preserve">4.2 Accessibility Standards (Barrierefreiheit)</w:t>
      </w:r>
    </w:p>
    <w:p>
      <w:pPr>
        <w:pStyle w:val="FirstParagraph"/>
      </w:pPr>
      <w:r>
        <w:t xml:space="preserve">Munich has strict adherence to digital accessibility standards. Designs must ensure sufficient color contrast ratios, scalable typography for visually impaired users, and clear labeling for interactive elements. The designer is responsible for verifying that all visual assets meet the Web Content Accessibility Guidelines (WCAG), ensuring inclusivity is embedded in the creative process from the outset.</w:t>
      </w:r>
    </w:p>
    <w:bookmarkEnd w:id="26"/>
    <w:bookmarkEnd w:id="27"/>
    <w:bookmarkStart w:id="28" w:name="design-strategies-for-local-engagement"/>
    <w:p>
      <w:pPr>
        <w:pStyle w:val="Heading2"/>
      </w:pPr>
      <w:r>
        <w:t xml:space="preserve">5. Design Strategies for Local Engagement</w:t>
      </w:r>
    </w:p>
    <w:p>
      <w:pPr>
        <w:pStyle w:val="FirstParagraph"/>
      </w:pPr>
      <w:r>
        <w:t xml:space="preserve">To succeed in this competitive market, specific strategies must be employed by the design team:</w:t>
      </w:r>
    </w:p>
    <w:p>
      <w:pPr>
        <w:numPr>
          <w:ilvl w:val="0"/>
          <w:numId w:val="1001"/>
        </w:numPr>
        <w:pStyle w:val="Compact"/>
      </w:pPr>
      <w:r>
        <w:rPr>
          <w:bCs/>
          <w:b/>
        </w:rPr>
        <w:t xml:space="preserve">Sustainability Focus:</w:t>
      </w:r>
      <w:r>
        <w:t xml:space="preserve"> </w:t>
      </w:r>
      <w:r>
        <w:t xml:space="preserve">The Munich demographic is highly environmentally conscious. Designers should utilize eco-friendly printing materials and digital assets optimized for lower energy consumption. Visual storytelling that highlights a brand’s sustainable practices can be a powerful differentiator.</w:t>
      </w:r>
    </w:p>
    <w:p>
      <w:pPr>
        <w:numPr>
          <w:ilvl w:val="0"/>
          <w:numId w:val="1001"/>
        </w:numPr>
        <w:pStyle w:val="Compact"/>
      </w:pPr>
      <w:r>
        <w:rPr>
          <w:bCs/>
          <w:b/>
        </w:rPr>
        <w:t xml:space="preserve">Multilingual Adaptation:</w:t>
      </w:r>
      <w:r>
        <w:t xml:space="preserve"> </w:t>
      </w:r>
      <w:r>
        <w:t xml:space="preserve">While German is the primary language, Munich’s international community requires English-language variants. The</w:t>
      </w:r>
      <w:r>
        <w:t xml:space="preserve"> </w:t>
      </w:r>
      <w:r>
        <w:rPr>
          <w:bCs/>
          <w:b/>
        </w:rPr>
        <w:t xml:space="preserve">Graphic Designer</w:t>
      </w:r>
      <w:r>
        <w:t xml:space="preserve"> </w:t>
      </w:r>
      <w:r>
        <w:t xml:space="preserve">must ensure layouts are flexible enough to accommodate text expansion and contraction between languages without breaking the visual hierarchy.</w:t>
      </w:r>
    </w:p>
    <w:p>
      <w:pPr>
        <w:numPr>
          <w:ilvl w:val="0"/>
          <w:numId w:val="1001"/>
        </w:numPr>
        <w:pStyle w:val="Compact"/>
      </w:pPr>
      <w:r>
        <w:rPr>
          <w:bCs/>
          <w:b/>
        </w:rPr>
        <w:t xml:space="preserve">Digital-First Approach:</w:t>
      </w:r>
      <w:r>
        <w:t xml:space="preserve"> </w:t>
      </w:r>
      <w:r>
        <w:t xml:space="preserve">With a highly digital-savvy population in</w:t>
      </w:r>
      <w:r>
        <w:t xml:space="preserve"> </w:t>
      </w:r>
      <w:r>
        <w:rPr>
          <w:bCs/>
          <w:b/>
        </w:rPr>
        <w:t xml:space="preserve">Munich</w:t>
      </w:r>
      <w:r>
        <w:t xml:space="preserve">, mobile responsiveness is non-negotiable. Designs must be tested extensively on various devices to ensure seamless user experiences across platforms.</w:t>
      </w:r>
    </w:p>
    <w:bookmarkEnd w:id="28"/>
    <w:bookmarkStart w:id="29" w:name="implementation-roadmap"/>
    <w:p>
      <w:pPr>
        <w:pStyle w:val="Heading2"/>
      </w:pPr>
      <w:r>
        <w:t xml:space="preserve">6. Implementation Roadmap</w:t>
      </w:r>
    </w:p>
    <w:p>
      <w:pPr>
        <w:pStyle w:val="FirstParagraph"/>
      </w:pPr>
      <w:r>
        <w:t xml:space="preserve">The execution of this project involves several key phases:</w:t>
      </w:r>
    </w:p>
    <w:p>
      <w:pPr>
        <w:numPr>
          <w:ilvl w:val="0"/>
          <w:numId w:val="1002"/>
        </w:numPr>
        <w:pStyle w:val="Compact"/>
      </w:pPr>
      <w:r>
        <w:rPr>
          <w:bCs/>
          <w:b/>
        </w:rPr>
        <w:t xml:space="preserve">Audit and Analysis:</w:t>
      </w:r>
      <w:r>
        <w:t xml:space="preserve"> </w:t>
      </w:r>
      <w:r>
        <w:t xml:space="preserve">Review existing brand assets against current Munich market trends and competitor analysis.</w:t>
      </w:r>
    </w:p>
    <w:p>
      <w:pPr>
        <w:numPr>
          <w:ilvl w:val="0"/>
          <w:numId w:val="1002"/>
        </w:numPr>
        <w:pStyle w:val="Compact"/>
      </w:pPr>
      <w:r>
        <w:rPr>
          <w:bCs/>
          <w:b/>
        </w:rPr>
        <w:t xml:space="preserve">Concept Development:</w:t>
      </w:r>
      <w:r>
        <w:t xml:space="preserve"> </w:t>
      </w:r>
      <w:r>
        <w:t xml:space="preserve">The</w:t>
      </w:r>
      <w:r>
        <w:t xml:space="preserve"> </w:t>
      </w:r>
      <w:r>
        <w:rPr>
          <w:bCs/>
          <w:b/>
        </w:rPr>
        <w:t xml:space="preserve">Graphic Designer</w:t>
      </w:r>
      <w:r>
        <w:t xml:space="preserve"> </w:t>
      </w:r>
      <w:r>
        <w:t xml:space="preserve">will create mood boards and initial concepts focusing on the balance of tradition and innovation.</w:t>
      </w:r>
    </w:p>
    <w:p>
      <w:pPr>
        <w:numPr>
          <w:ilvl w:val="0"/>
          <w:numId w:val="1002"/>
        </w:numPr>
        <w:pStyle w:val="Compact"/>
      </w:pPr>
      <w:r>
        <w:t xml:space="preserve">Cultural Consultation: Engage local stakeholders to ensure cultural relevance and appropriateness.</w:t>
      </w:r>
    </w:p>
    <w:p>
      <w:pPr>
        <w:numPr>
          <w:ilvl w:val="0"/>
          <w:numId w:val="1002"/>
        </w:numPr>
        <w:pStyle w:val="Compact"/>
      </w:pPr>
      <w:r>
        <w:t xml:space="preserve">Rigorous Testing: Conduct A/B testing on digital assets, paying close attention to accessibility compliance and GDPR adherence.</w:t>
      </w:r>
    </w:p>
    <w:p>
      <w:pPr>
        <w:numPr>
          <w:ilvl w:val="0"/>
          <w:numId w:val="1002"/>
        </w:numPr>
        <w:pStyle w:val="Compact"/>
      </w:pPr>
      <w:r>
        <w:rPr>
          <w:bCs/>
          <w:b/>
        </w:rPr>
        <w:t xml:space="preserve">Launch and Optimization:</w:t>
      </w:r>
      <w:r>
        <w:t xml:space="preserve"> </w:t>
      </w:r>
      <w:r>
        <w:t xml:space="preserve">Deploy designs across all channels in</w:t>
      </w:r>
      <w:r>
        <w:t xml:space="preserve"> </w:t>
      </w:r>
      <w:r>
        <w:rPr>
          <w:bCs/>
          <w:b/>
        </w:rPr>
        <w:t xml:space="preserve">Munich</w:t>
      </w:r>
      <w:r>
        <w:t xml:space="preserve">, monitoring performance metrics for engagement and conversion.</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Graphic Designer</w:t>
      </w:r>
      <w:r>
        <w:t xml:space="preserve">Munich. This project report serves as a guide for leveraging these insights to achieve sustainable growth and brand loyalty in one of Europe’s most vibrant cities.</w:t>
      </w:r>
    </w:p>
    <w:bookmarkEnd w:id="30"/>
    <w:bookmarkStart w:id="31" w:name="references-and-further-reading"/>
    <w:p>
      <w:pPr>
        <w:pStyle w:val="Heading2"/>
      </w:pPr>
      <w:r>
        <w:t xml:space="preserve">8. References and Further Reading</w:t>
      </w:r>
    </w:p>
    <w:p>
      <w:pPr>
        <w:pStyle w:val="FirstParagraph"/>
      </w:pPr>
      <w:r>
        <w:t xml:space="preserve">- Munich Economic Development Agency (GMG) Market Reports.</w:t>
      </w:r>
    </w:p>
    <w:p>
      <w:pPr>
        <w:pStyle w:val="BodyText"/>
      </w:pPr>
      <w:r>
        <w:t xml:space="preserve">- German Federal Association of Graphic Designers (BDG) Code of Ethics.</w:t>
      </w:r>
    </w:p>
    <w:p>
      <w:pPr>
        <w:pStyle w:val="BodyText"/>
      </w:pPr>
      <w:r>
        <w:t xml:space="preserve">- General Data Protection Regulation (GDPR) Official 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Strategy for Germany Munich</dc:title>
  <dc:creator/>
  <dc:language>en</dc:language>
  <cp:keywords/>
  <dcterms:created xsi:type="dcterms:W3CDTF">2026-07-29T10:10:40Z</dcterms:created>
  <dcterms:modified xsi:type="dcterms:W3CDTF">2026-07-29T10:10:40Z</dcterms:modified>
</cp:coreProperties>
</file>

<file path=docProps/custom.xml><?xml version="1.0" encoding="utf-8"?>
<Properties xmlns="http://schemas.openxmlformats.org/officeDocument/2006/custom-properties" xmlns:vt="http://schemas.openxmlformats.org/officeDocument/2006/docPropsVTypes"/>
</file>