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32" w:name="X7533ef1e67d6c1863bc92fc1d93c6da17254d1a"/>
    <w:p>
      <w:pPr>
        <w:pStyle w:val="Heading1"/>
      </w:pPr>
      <w:r>
        <w:t xml:space="preserve">Project Report:</w:t>
      </w:r>
      <w:r>
        <w:br/>
      </w:r>
      <w:r>
        <w:t xml:space="preserve">The Strategic Implementation and Operational Efficiency of the Judge System in Germany Frankfurt</w:t>
      </w:r>
    </w:p>
    <w:p>
      <w:pPr>
        <w:pStyle w:val="FirstParagraph"/>
      </w:pPr>
      <w:r>
        <w:rPr>
          <w:bCs/>
          <w:b/>
        </w:rPr>
        <w:t xml:space="preserve">Date:</w:t>
      </w:r>
      <w:r>
        <w:t xml:space="preserve"> </w:t>
      </w:r>
      <w:r>
        <w:t xml:space="preserve">October 26, 2023</w:t>
      </w:r>
      <w:r>
        <w:br/>
      </w:r>
      <w:r>
        <w:rPr>
          <w:bCs/>
          <w:b/>
        </w:rPr>
        <w:t xml:space="preserve">To:</w:t>
      </w:r>
      <w:r>
        <w:br/>
      </w:r>
      <w:r>
        <w:t xml:space="preserve">District Court Administration Board</w:t>
      </w:r>
      <w:r>
        <w:br/>
      </w:r>
      <w:r>
        <w:br/>
      </w:r>
      <w:r>
        <w:rPr>
          <w:bCs/>
          <w:b/>
        </w:rPr>
        <w:t xml:space="preserve">From:</w:t>
      </w:r>
      <w:r>
        <w:br/>
      </w:r>
      <w:r>
        <w:t xml:space="preserve">Judicial Infrastructure Committee</w:t>
      </w:r>
      <w:r>
        <w:br/>
      </w:r>
      <w:r>
        <w:br/>
      </w:r>
      <w:r>
        <w:rPr>
          <w:iCs/>
          <w:i/>
        </w:rPr>
        <w:t xml:space="preserve">This document outlines the comprehensive analysis regarding the role, infrastructure, and modernization of the Judge's office within the judicial district of Germany Frankfurt. It addresses procedural standards, digital integration challenges, and strategic objectives for fiscal year 2024-2025.</w:t>
      </w:r>
    </w:p>
    <w:bookmarkStart w:id="20" w:name="executive-summary"/>
    <w:p>
      <w:pPr>
        <w:pStyle w:val="Heading2"/>
      </w:pPr>
      <w:r>
        <w:t xml:space="preserve">1. Executive Summary</w:t>
      </w:r>
    </w:p>
    <w:p>
      <w:pPr>
        <w:pStyle w:val="FirstParagraph"/>
      </w:pPr>
      <w:r>
        <w:t xml:space="preserve">This Project Report provides a detailed examination of the current operational landscape concerning the</w:t>
      </w:r>
      <w:r>
        <w:t xml:space="preserve"> </w:t>
      </w:r>
      <w:r>
        <w:rPr>
          <w:bCs/>
          <w:b/>
        </w:rPr>
        <w:t xml:space="preserve">Judge</w:t>
      </w:r>
      <w:r>
        <w:t xml:space="preserve">'s responsibilities within the regional jurisdiction of</w:t>
      </w:r>
      <w:r>
        <w:t xml:space="preserve"> </w:t>
      </w:r>
      <w:r>
        <w:rPr>
          <w:bCs/>
          <w:b/>
        </w:rPr>
        <w:t xml:space="preserve">Germany Frankfurt</w:t>
      </w:r>
      <w:r>
        <w:t xml:space="preserve">. As one of Germany's primary financial hubs, Frankfurt am Main faces a unique density of commercial litigation, civil disputes, and criminal cases. The efficacy of every individual</w:t>
      </w:r>
      <w:r>
        <w:t xml:space="preserve"> </w:t>
      </w:r>
      <w:r>
        <w:rPr>
          <w:bCs/>
          <w:b/>
        </w:rPr>
        <w:t xml:space="preserve">Judge</w:t>
      </w:r>
      <w:r>
        <w:t xml:space="preserve"> </w:t>
      </w:r>
      <w:r>
        <w:t xml:space="preserve">assigned to this jurisdiction directly impacts the economic stability and legal certainty required by international businesses operating in the region. This report analyzes the existing caseloads, evaluates the technological infrastructure supporting judicial decision-making, and proposes a strategic roadmap for enhancing procedural efficiency while maintaining strict adherence to German statutory law.</w:t>
      </w:r>
    </w:p>
    <w:bookmarkEnd w:id="20"/>
    <w:bookmarkStart w:id="21" w:name="introduction-and-context"/>
    <w:p>
      <w:pPr>
        <w:pStyle w:val="Heading2"/>
      </w:pPr>
      <w:r>
        <w:t xml:space="preserve">2. Introduction and Context</w:t>
      </w:r>
    </w:p>
    <w:p>
      <w:pPr>
        <w:pStyle w:val="FirstParagraph"/>
      </w:pPr>
      <w:r>
        <w:t xml:space="preserve">The judicial system in Germany is characterized by its rigorous adherence to codified law and procedural integrity. Within this framework, the</w:t>
      </w:r>
      <w:r>
        <w:t xml:space="preserve"> </w:t>
      </w:r>
      <w:r>
        <w:rPr>
          <w:bCs/>
          <w:b/>
        </w:rPr>
        <w:t xml:space="preserve">Judge</w:t>
      </w:r>
      <w:r>
        <w:br/>
      </w:r>
      <w:r>
        <w:t xml:space="preserve">serves not merely as an arbiter of fact, but as the guardian of legal order within the specific socio-economic context of</w:t>
      </w:r>
      <w:r>
        <w:t xml:space="preserve"> </w:t>
      </w:r>
      <w:r>
        <w:rPr>
          <w:bCs/>
          <w:b/>
        </w:rPr>
        <w:t xml:space="preserve">Germany Frankfurt</w:t>
      </w:r>
      <w:r>
        <w:t xml:space="preserve">. Frankfurt is distinguished by its concentration of financial institutions, multinational corporations, and cross-border trade activities. Consequently, cases handled by a</w:t>
      </w:r>
      <w:r>
        <w:t xml:space="preserve"> </w:t>
      </w:r>
      <w:r>
        <w:rPr>
          <w:bCs/>
          <w:b/>
        </w:rPr>
        <w:t xml:space="preserve">Judge</w:t>
      </w:r>
      <w:r>
        <w:br/>
      </w:r>
      <w:r>
        <w:t xml:space="preserve">in this district often involve complex commercial contracts, intellectual property disputes arising from international tech partnerships, and high-volume civil claims.</w:t>
      </w:r>
    </w:p>
    <w:p>
      <w:pPr>
        <w:pStyle w:val="BodyText"/>
      </w:pPr>
      <w:r>
        <w:t xml:space="preserve">The primary objective of this project report is to assess how the local judicial apparatus supports the</w:t>
      </w:r>
      <w:r>
        <w:t xml:space="preserve"> </w:t>
      </w:r>
      <w:r>
        <w:rPr>
          <w:bCs/>
          <w:b/>
        </w:rPr>
        <w:t xml:space="preserve">Judge</w:t>
      </w:r>
      <w:r>
        <w:br/>
      </w:r>
      <w:r>
        <w:t xml:space="preserve">in managing these complexities. It is imperative to understand that the efficiency of a</w:t>
      </w:r>
      <w:r>
        <w:t xml:space="preserve"> </w:t>
      </w:r>
      <w:r>
        <w:rPr>
          <w:bCs/>
          <w:b/>
        </w:rPr>
        <w:t xml:space="preserve">Judge</w:t>
      </w:r>
      <w:r>
        <w:br/>
      </w:r>
      <w:r>
        <w:t xml:space="preserve">is not solely dependent on personal diligence but also on the systemic support provided by the court administration in</w:t>
      </w:r>
      <w:r>
        <w:t xml:space="preserve"> </w:t>
      </w:r>
      <w:r>
        <w:rPr>
          <w:bCs/>
          <w:b/>
        </w:rPr>
        <w:t xml:space="preserve">Germany Frankfurt</w:t>
      </w:r>
      <w:r>
        <w:t xml:space="preserve">. Without adequate resources, even the most competent jurist may struggle to deliver timely justice, leading to backlogs that undermine public trust and economic confidence.</w:t>
      </w:r>
    </w:p>
    <w:bookmarkEnd w:id="21"/>
    <w:bookmarkStart w:id="24" w:name="current-operational-challenges"/>
    <w:p>
      <w:pPr>
        <w:pStyle w:val="Heading2"/>
      </w:pPr>
      <w:r>
        <w:t xml:space="preserve">3. Current Operational Challenges</w:t>
      </w:r>
    </w:p>
    <w:bookmarkStart w:id="22" w:name="the-caseload-pressure-on-the-judge"/>
    <w:p>
      <w:pPr>
        <w:pStyle w:val="Heading3"/>
      </w:pPr>
      <w:r>
        <w:rPr>
          <w:bCs/>
          <w:b/>
        </w:rPr>
        <w:t xml:space="preserve">The Caseload Pressure on the Judge</w:t>
      </w:r>
    </w:p>
    <w:p>
      <w:pPr>
        <w:pStyle w:val="FirstParagraph"/>
      </w:pPr>
      <w:r>
        <w:t xml:space="preserve">Data collected from the regional court statistics indicates a significant year-over-year increase in case filings within</w:t>
      </w:r>
      <w:r>
        <w:t xml:space="preserve"> </w:t>
      </w:r>
      <w:r>
        <w:rPr>
          <w:bCs/>
          <w:b/>
        </w:rPr>
        <w:t xml:space="preserve">Germany Frankfurt</w:t>
      </w:r>
      <w:r>
        <w:t xml:space="preserve">. The complexity of these cases requires a</w:t>
      </w:r>
    </w:p>
    <w:p>
      <w:pPr>
        <w:pStyle w:val="BodyText"/>
      </w:pPr>
      <w:r>
        <w:t xml:space="preserve">Judge</w:t>
      </w:r>
      <w:r>
        <w:br/>
      </w:r>
      <w:r>
        <w:t xml:space="preserve">Judge handling civil matters in Frankfurt, this division of attention can lead to delays that are detrimental to all parties involved.</w:t>
      </w:r>
    </w:p>
    <w:bookmarkEnd w:id="22"/>
    <w:bookmarkStart w:id="23" w:name="digital-transformation-lag"/>
    <w:p>
      <w:pPr>
        <w:pStyle w:val="Heading3"/>
      </w:pPr>
      <w:r>
        <w:rPr>
          <w:bCs/>
          <w:b/>
        </w:rPr>
        <w:t xml:space="preserve">Digital Transformation Lag</w:t>
      </w:r>
    </w:p>
    <w:p>
      <w:pPr>
        <w:pStyle w:val="FirstParagraph"/>
      </w:pPr>
      <w:r>
        <w:t xml:space="preserve">While other sectors in</w:t>
      </w:r>
    </w:p>
    <w:p>
      <w:pPr>
        <w:pStyle w:val="BodyText"/>
      </w:pPr>
      <w:r>
        <w:t xml:space="preserve">Germany Frankfurt</w:t>
      </w:r>
      <w:r>
        <w:br/>
      </w:r>
      <w:r>
        <w:t xml:space="preserve">such as banking and logistics have embraced rapid digitalization, the judicial sector has historically moved at a slower pace. Although recent initiatives like the Justizelektronischer Aktenwechsel (JEA) have improved document exchange, many local courts still rely on hybrid systems. A</w:t>
      </w:r>
    </w:p>
    <w:p>
      <w:pPr>
        <w:pStyle w:val="BodyText"/>
      </w:pPr>
      <w:r>
        <w:t xml:space="preserve">Judge</w:t>
      </w:r>
      <w:r>
        <w:br/>
      </w:r>
      <w:r>
        <w:t xml:space="preserve">may frequently find themselves toggling between physical files and digital interfaces, creating inefficiencies that slow down the adjudication process. The lack of seamless integration poses a significant barrier to optimizing the workflow of every</w:t>
      </w:r>
    </w:p>
    <w:p>
      <w:pPr>
        <w:pStyle w:val="BodyText"/>
      </w:pPr>
      <w:r>
        <w:t xml:space="preserve">Judge in the district.</w:t>
      </w:r>
    </w:p>
    <w:bookmarkEnd w:id="23"/>
    <w:bookmarkEnd w:id="24"/>
    <w:bookmarkStart w:id="28" w:name="Xa914d1cefb46e251f96287c551f4f47ebf30a71"/>
    <w:p>
      <w:pPr>
        <w:pStyle w:val="Heading2"/>
      </w:pPr>
      <w:r>
        <w:t xml:space="preserve">4. Strategic Recommendations for Modernization</w:t>
      </w:r>
    </w:p>
    <w:bookmarkStart w:id="25" w:name="X91ccd80fdd9a90f5dcef24b6a6b93d8f87bda0e"/>
    <w:p>
      <w:pPr>
        <w:pStyle w:val="Heading3"/>
      </w:pPr>
      <w:r>
        <w:rPr>
          <w:bCs/>
          <w:b/>
        </w:rPr>
        <w:t xml:space="preserve">A. Enhanced Digital Infrastructure for Judicial Decision-Making</w:t>
      </w:r>
    </w:p>
    <w:p>
      <w:pPr>
        <w:pStyle w:val="FirstParagraph"/>
      </w:pPr>
      <w:r>
        <w:t xml:space="preserve">To support the</w:t>
      </w:r>
    </w:p>
    <w:p>
      <w:pPr>
        <w:pStyle w:val="BodyText"/>
      </w:pPr>
      <w:r>
        <w:t xml:space="preserve">Judge</w:t>
      </w:r>
      <w:r>
        <w:br/>
      </w:r>
      <w:r>
        <w:t xml:space="preserve">navigating the high-stakes environment of</w:t>
      </w:r>
    </w:p>
    <w:p>
      <w:pPr>
        <w:pStyle w:val="BodyText"/>
      </w:pPr>
      <w:r>
        <w:t xml:space="preserve">Germany Frankfurt, we recommend a full-scale deployment of AI-assisted legal research tools and automated case management systems. These tools should be specifically calibrated to handle German civil procedure codes and commercial law nuances. By automating routine scheduling, document indexing, and preliminary data extraction, a</w:t>
      </w:r>
    </w:p>
    <w:p>
      <w:pPr>
        <w:pStyle w:val="BodyText"/>
      </w:pPr>
      <w:r>
        <w:t xml:space="preserve">Judge</w:t>
      </w:r>
      <w:r>
        <w:br/>
      </w:r>
      <w:r>
        <w:t xml:space="preserve">can dedicate more cognitive resources to legal reasoning and verdict formulation. This technological uplift is critical for maintaining the competitiveness of</w:t>
      </w:r>
    </w:p>
    <w:p>
      <w:pPr>
        <w:pStyle w:val="BodyText"/>
      </w:pPr>
      <w:r>
        <w:t xml:space="preserve">Germany Frankfurt's legal market on an international stage.</w:t>
      </w:r>
    </w:p>
    <w:bookmarkEnd w:id="25"/>
    <w:bookmarkStart w:id="26" w:name="Xc31a22667cb3abd0b14e3caa4ded74e69cff9f3"/>
    <w:p>
      <w:pPr>
        <w:pStyle w:val="Heading3"/>
      </w:pPr>
      <w:r>
        <w:rPr>
          <w:bCs/>
          <w:b/>
        </w:rPr>
        <w:t xml:space="preserve">B. Specialized Training for Complex Commercial Litigation</w:t>
      </w:r>
    </w:p>
    <w:p>
      <w:pPr>
        <w:pStyle w:val="FirstParagraph"/>
      </w:pPr>
      <w:r>
        <w:t xml:space="preserve">The nature of cases in</w:t>
      </w:r>
    </w:p>
    <w:p>
      <w:pPr>
        <w:pStyle w:val="BodyText"/>
      </w:pPr>
      <w:r>
        <w:t xml:space="preserve">Germany Frankfurt</w:t>
      </w:r>
      <w:r>
        <w:br/>
      </w:r>
      <w:r>
        <w:t xml:space="preserve">frequently requires specialized knowledge in finance and international trade law. We propose the establishment of a continuous professional development program specifically designed for the</w:t>
      </w:r>
    </w:p>
    <w:p>
      <w:pPr>
        <w:pStyle w:val="BodyText"/>
      </w:pPr>
      <w:r>
        <w:t xml:space="preserve">Judge</w:t>
      </w:r>
      <w:r>
        <w:br/>
      </w:r>
      <w:r>
        <w:t xml:space="preserve">serving in this district. This training should focus on emerging trends such as fintech regulations, cross-border insolvency proceedings, and cybersecurity liabilities. By equipping the</w:t>
      </w:r>
    </w:p>
    <w:p>
      <w:pPr>
        <w:pStyle w:val="BodyText"/>
      </w:pPr>
      <w:r>
        <w:t xml:space="preserve">Judge with up-to-date specialized knowledge, the court can ensure that rulings are not only legally sound but also economically informed.</w:t>
      </w:r>
    </w:p>
    <w:bookmarkEnd w:id="26"/>
    <w:bookmarkStart w:id="27" w:name="c.-inter-judicial-collaboration-networks"/>
    <w:p>
      <w:pPr>
        <w:pStyle w:val="Heading3"/>
      </w:pPr>
      <w:r>
        <w:rPr>
          <w:bCs/>
          <w:b/>
        </w:rPr>
        <w:t xml:space="preserve">C. Inter-Judicial Collaboration Networks</w:t>
      </w:r>
    </w:p>
    <w:p>
      <w:pPr>
        <w:pStyle w:val="FirstParagraph"/>
      </w:pPr>
      <w:r>
        <w:t xml:space="preserve">To mitigate isolation and share best practices, we recommend creating a formalized network among all</w:t>
      </w:r>
    </w:p>
    <w:p>
      <w:pPr>
        <w:pStyle w:val="BodyText"/>
      </w:pPr>
      <w:r>
        <w:t xml:space="preserve">Judge</w:t>
      </w:r>
      <w:r>
        <w:br/>
      </w:r>
      <w:r>
        <w:t xml:space="preserve">s in</w:t>
      </w:r>
    </w:p>
    <w:p>
      <w:pPr>
        <w:pStyle w:val="BodyText"/>
      </w:pPr>
      <w:r>
        <w:t xml:space="preserve">Germany Frankfurt. Regular seminars and peer-review sessions can help standardize interpretations of complex laws across different chambers. This collaborative approach ensures that similar cases are judged consistently, enhancing the predictability of legal outcomes for businesses operating in the city.</w:t>
      </w:r>
    </w:p>
    <w:bookmarkEnd w:id="27"/>
    <w:bookmarkEnd w:id="28"/>
    <w:bookmarkStart w:id="29" w:name="implementation-roadmap"/>
    <w:p>
      <w:pPr>
        <w:pStyle w:val="Heading2"/>
      </w:pPr>
      <w:r>
        <w:t xml:space="preserve">5. Implementation Roadmap</w:t>
      </w:r>
    </w:p>
    <w:p>
      <w:pPr>
        <w:pStyle w:val="FirstParagraph"/>
      </w:pPr>
      <w:r>
        <w:t xml:space="preserve">The successful execution of these recommendations requires a phased approach:</w:t>
      </w:r>
    </w:p>
    <w:p>
      <w:pPr>
        <w:pStyle w:val="BodyText"/>
      </w:pPr>
      <w:r>
        <w:rPr>
          <w:bCs/>
          <w:b/>
        </w:rPr>
        <w:t xml:space="preserve">Phase 1 (Months 1-3):</w:t>
      </w:r>
      <w:r>
        <w:br/>
      </w:r>
      <w:r>
        <w:t xml:space="preserve">Audit current technological infrastructure and identify gaps in the support systems for the</w:t>
      </w:r>
    </w:p>
    <w:p>
      <w:pPr>
        <w:pStyle w:val="BodyText"/>
      </w:pPr>
      <w:r>
        <w:t xml:space="preserve">Judge. Stakeholder interviews with court staff in</w:t>
      </w:r>
    </w:p>
    <w:p>
      <w:pPr>
        <w:pStyle w:val="BodyText"/>
      </w:pPr>
      <w:r>
        <w:t xml:space="preserve">Germany Frankfurt.</w:t>
      </w:r>
    </w:p>
    <w:p>
      <w:pPr>
        <w:pStyle w:val="BodyText"/>
      </w:pPr>
      <w:r>
        <w:t xml:space="preserve">Phase 2 (Months 4-6):</w:t>
      </w:r>
      <w:r>
        <w:br/>
      </w:r>
      <w:r>
        <w:t xml:space="preserve">Pilot test new digital case management tools with a select group of Judges. Evaluate efficiency gains and user feedback.</w:t>
      </w:r>
    </w:p>
    <w:p>
      <w:pPr>
        <w:pStyle w:val="BodyText"/>
      </w:pPr>
      <w:r>
        <w:rPr>
          <w:bCs/>
          <w:b/>
        </w:rPr>
        <w:t xml:space="preserve">Phase 3 (Months 7-12):</w:t>
      </w:r>
      <w:r>
        <w:br/>
      </w:r>
      <w:r>
        <w:t xml:space="preserve">Full-scale rollout across all judicial chambers in</w:t>
      </w:r>
    </w:p>
    <w:p>
      <w:pPr>
        <w:pStyle w:val="BodyText"/>
      </w:pPr>
      <w:r>
        <w:t xml:space="preserve">Germany Frankfurt. Launch of specialized training modules for complex commercial cases.</w:t>
      </w:r>
    </w:p>
    <w:p>
      <w:pPr>
        <w:pStyle w:val="BodyText"/>
      </w:pPr>
      <w:r>
        <w:rPr>
          <w:bCs/>
          <w:b/>
        </w:rPr>
        <w:t xml:space="preserve">Ongoing:</w:t>
      </w:r>
      <w:r>
        <w:br/>
      </w:r>
      <w:r>
        <w:t xml:space="preserve">Maintenance, updates, and regular performance reviews to ensure the</w:t>
      </w:r>
    </w:p>
    <w:p>
      <w:pPr>
        <w:pStyle w:val="BodyText"/>
      </w:pPr>
      <w:r>
        <w:t xml:space="preserve">Judge's operational environment remains optimized.</w:t>
      </w:r>
    </w:p>
    <w:bookmarkEnd w:id="29"/>
    <w:bookmarkStart w:id="30" w:name="expected-outcomes-and-impact-assessment"/>
    <w:p>
      <w:pPr>
        <w:pStyle w:val="Heading2"/>
      </w:pPr>
      <w:r>
        <w:t xml:space="preserve">6. Expected Outcomes and Impact Assessment</w:t>
      </w:r>
    </w:p>
    <w:p>
      <w:pPr>
        <w:pStyle w:val="FirstParagraph"/>
      </w:pPr>
      <w:r>
        <w:t xml:space="preserve">The implementation of this project is projected to yield significant benefits for the judicial system in</w:t>
      </w:r>
    </w:p>
    <w:p>
      <w:pPr>
        <w:pStyle w:val="BodyText"/>
      </w:pPr>
      <w:r>
        <w:t xml:space="preserve">Germany Frankfurt. Firstly, a reduction in case processing time by approximately 15-20% is anticipated, directly relieving the burden on each</w:t>
      </w:r>
    </w:p>
    <w:p>
      <w:pPr>
        <w:pStyle w:val="BodyText"/>
      </w:pPr>
      <w:r>
        <w:t xml:space="preserve">Judge. Secondly, enhanced digital literacy and technological proficiency will empower the</w:t>
      </w:r>
    </w:p>
    <w:p>
      <w:pPr>
        <w:pStyle w:val="BodyText"/>
      </w:pPr>
      <w:r>
        <w:t xml:space="preserve">Judge</w:t>
      </w:r>
      <w:r>
        <w:br/>
      </w:r>
      <w:r>
        <w:t xml:space="preserve">to handle increasingly complex digital evidence more effectively. Thirdly, by positioning</w:t>
      </w:r>
    </w:p>
    <w:p>
      <w:pPr>
        <w:pStyle w:val="BodyText"/>
      </w:pPr>
      <w:r>
        <w:t xml:space="preserve">Germany Frankfurt</w:t>
      </w:r>
      <w:r>
        <w:br/>
      </w:r>
      <w:r>
        <w:t xml:space="preserve">as a leader in judicial modernization, the city can attract more international legal firms and arbitration centers, boosting its status as a premier European legal hub.</w:t>
      </w:r>
    </w:p>
    <w:p>
      <w:pPr>
        <w:pStyle w:val="BodyText"/>
      </w:pPr>
      <w:r>
        <w:t xml:space="preserve">JudgeGermany Frankfurt, trust in the rule of law strengthens. This social capital is invaluable for maintaining social stability and fostering a conducive environment for economic growth.</w:t>
      </w:r>
    </w:p>
    <w:bookmarkEnd w:id="30"/>
    <w:bookmarkStart w:id="31" w:name="conclusion"/>
    <w:p>
      <w:pPr>
        <w:pStyle w:val="Heading2"/>
      </w:pPr>
      <w:r>
        <w:t xml:space="preserve">7. Conclusion</w:t>
      </w:r>
    </w:p>
    <w:p>
      <w:pPr>
        <w:pStyle w:val="FirstParagraph"/>
      </w:pPr>
      <w:r>
        <w:t xml:space="preserve">In conclusion, this Project Report underscores the critical importance of supporting every</w:t>
      </w:r>
    </w:p>
    <w:p>
      <w:pPr>
        <w:pStyle w:val="BodyText"/>
      </w:pPr>
      <w:r>
        <w:t xml:space="preserve">Judge</w:t>
      </w:r>
      <w:r>
        <w:br/>
      </w:r>
      <w:r>
        <w:t xml:space="preserve">serving within the vibrant yet demanding legal ecosystem of</w:t>
      </w:r>
    </w:p>
    <w:p>
      <w:pPr>
        <w:pStyle w:val="BodyText"/>
      </w:pPr>
      <w:r>
        <w:t xml:space="preserve">Germany Frankfurt. The combination of high-case volume, complex commercial litigation, and the need for procedural fairness requires a robust and modernized judicial framework. By investing in digital infrastructure, specialized training, and collaborative networks, we can empower the</w:t>
      </w:r>
    </w:p>
    <w:p>
      <w:pPr>
        <w:pStyle w:val="BodyText"/>
      </w:pPr>
      <w:r>
        <w:t xml:space="preserve">Judge</w:t>
      </w:r>
      <w:r>
        <w:br/>
      </w:r>
      <w:r>
        <w:t xml:space="preserve">to deliver justice more efficiently and effectively. It is our firm belief that these measures will not only resolve current operational bottlenecks but also secure the long-term viability of Frankfurt's judicial system as a cornerstone of Germany's legal infrastructure.</w:t>
      </w:r>
    </w:p>
    <w:p>
      <w:pPr>
        <w:pStyle w:val="BodyText"/>
      </w:pPr>
      <w:r>
        <w:t xml:space="preserve">The transition toward a fully integrated, technologically advanced, and highly specialized judicial model is not merely an administrative upgrade; it is a strategic imperative for</w:t>
      </w:r>
    </w:p>
    <w:p>
      <w:pPr>
        <w:pStyle w:val="BodyText"/>
      </w:pPr>
      <w:r>
        <w:t xml:space="preserve">Germany Frankfurt. We urge the administration to prioritize these initiatives to ensure that the</w:t>
      </w:r>
    </w:p>
    <w:p>
      <w:pPr>
        <w:pStyle w:val="BodyText"/>
      </w:pPr>
      <w:r>
        <w:t xml:space="preserve">Judge</w:t>
      </w:r>
      <w:r>
        <w:br/>
      </w:r>
      <w:r>
        <w:t xml:space="preserve">can fulfill their constitutional duties without hindrance. The future of justice in this region depends on our ability to adapt and innovate today.</w:t>
      </w:r>
    </w:p>
    <w:p>
      <w:pPr>
        <w:pStyle w:val="BodyText"/>
      </w:pPr>
      <w:r>
        <w:t xml:space="preserve">© 2023 Judicial Infrastructure Committee, Germany Frankfurt. All Rights Reserved.</w:t>
      </w:r>
      <w:r>
        <w:br/>
      </w:r>
      <w:r>
        <w:t xml:space="preserve">Internal Use Only - Confidential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Framework in Germany Frankfurt</dc:title>
  <dc:creator/>
  <dc:language>en</dc:language>
  <cp:keywords/>
  <dcterms:created xsi:type="dcterms:W3CDTF">2026-07-29T17:58:34Z</dcterms:created>
  <dcterms:modified xsi:type="dcterms:W3CDTF">2026-07-29T17:58:34Z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