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Modernization</w:t>
      </w:r>
      <w:r>
        <w:t xml:space="preserve"> </w:t>
      </w:r>
      <w:r>
        <w:t xml:space="preserve">and</w:t>
      </w:r>
      <w:r>
        <w:t xml:space="preserve"> </w:t>
      </w:r>
      <w:r>
        <w:t xml:space="preserve">Institutional</w:t>
      </w:r>
      <w:r>
        <w:t xml:space="preserve"> </w:t>
      </w:r>
      <w:r>
        <w:t xml:space="preserve">Strengthening</w:t>
      </w:r>
      <w:r>
        <w:t xml:space="preserve"> </w:t>
      </w:r>
      <w:r>
        <w:t xml:space="preserve">in</w:t>
      </w:r>
      <w:r>
        <w:t xml:space="preserve"> </w:t>
      </w:r>
      <w:r>
        <w:t xml:space="preserve">Iran</w:t>
      </w:r>
      <w:r>
        <w:t xml:space="preserve"> </w:t>
      </w:r>
      <w:r>
        <w:t xml:space="preserve">Tehran</w:t>
      </w:r>
    </w:p>
    <w:bookmarkStart w:id="32" w:name="Xc6547337582528507c481ae9b3fe399385cb87b"/>
    <w:p>
      <w:pPr>
        <w:pStyle w:val="Heading1"/>
      </w:pPr>
      <w:r>
        <w:t xml:space="preserve">Project Report: Judicial Modernization and Institutional Strengthening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Justice, Islamic Republic of Iran</w:t>
      </w:r>
      <w:r>
        <w:br/>
      </w:r>
      <w:r>
        <w:rPr>
          <w:bCs/>
          <w:b/>
        </w:rPr>
        <w:t xml:space="preserve">From:</w:t>
      </w:r>
      <w:r>
        <w:t xml:space="preserve"> </w:t>
      </w:r>
      <w:r>
        <w:t xml:space="preserve">Strategic Planning Committee on Judicial Reform</w:t>
      </w:r>
      <w:r>
        <w:br/>
      </w:r>
      <w:r>
        <w:t xml:space="preserve">Project Title: Enhancing Efficiency, Transparency, and Legal Compliance in the Tehran Judicial System</w:t>
      </w:r>
    </w:p>
    <w:bookmarkStart w:id="20" w:name="executive-summary"/>
    <w:p>
      <w:pPr>
        <w:pStyle w:val="Heading2"/>
      </w:pPr>
      <w:r>
        <w:t xml:space="preserve">1. Executive Summary</w:t>
      </w:r>
    </w:p>
    <w:p>
      <w:pPr>
        <w:pStyle w:val="FirstParagraph"/>
      </w:pPr>
      <w:r>
        <w:t xml:space="preserve">This Project Report outlines a comprehensive strategic framework designed to modernize the judicial infrastructure within Iran Tehran. As the capital city serves as the political, cultural, and administrative heart of Iran, its legal system faces unique challenges characterized by high case volume, complex socio-economic disputes, and public demand for transparency. The primary objective of this initiative is to enhance the efficacy of every</w:t>
      </w:r>
      <w:r>
        <w:t xml:space="preserve"> </w:t>
      </w:r>
      <w:r>
        <w:rPr>
          <w:bCs/>
          <w:b/>
        </w:rPr>
        <w:t xml:space="preserve">Judge</w:t>
      </w:r>
      <w:r>
        <w:t xml:space="preserve"> </w:t>
      </w:r>
      <w:r>
        <w:t xml:space="preserve">operating within Tehran’s courts through technological integration, advanced training protocols,</w:t>
      </w:r>
      <w:r>
        <w:br/>
      </w:r>
      <w:r>
        <w:t xml:space="preserve">and procedural streamlining. By focusing on these core elements, we aim to reduce case backlogs, improve access to justice for citizens, and ensure that the application of law in Iran Tehran aligns with both religious principles and modern administrative standards.</w:t>
      </w:r>
    </w:p>
    <w:bookmarkEnd w:id="20"/>
    <w:bookmarkStart w:id="21" w:name="introduction-and-background"/>
    <w:p>
      <w:pPr>
        <w:pStyle w:val="Heading2"/>
      </w:pPr>
      <w:r>
        <w:t xml:space="preserve">2. Introduction and Background</w:t>
      </w:r>
    </w:p>
    <w:p>
      <w:pPr>
        <w:pStyle w:val="FirstParagraph"/>
      </w:pPr>
      <w:r>
        <w:t xml:space="preserve">The judicial landscape in Iran Tehran is currently undergoing a period of significant transition. With a population exceeding 9 million residents, the volume of litigation handled by courts in the capital is immense. Traditional manual processes are often insufficient to handle the sheer density of civil, criminal, and commercial cases filed daily. Consequently, there is an urgent need for a systemic overhaul that empowers each</w:t>
      </w:r>
      <w:r>
        <w:t xml:space="preserve"> </w:t>
      </w:r>
      <w:r>
        <w:rPr>
          <w:bCs/>
          <w:b/>
        </w:rPr>
        <w:t xml:space="preserve">Judge</w:t>
      </w:r>
      <w:r>
        <w:t xml:space="preserve"> </w:t>
      </w:r>
      <w:r>
        <w:t xml:space="preserve">with digital tools capable of managing vast amounts of data efficiently.</w:t>
      </w:r>
    </w:p>
    <w:p>
      <w:pPr>
        <w:pStyle w:val="BodyText"/>
      </w:pPr>
      <w:r>
        <w:t xml:space="preserve">The term "Iran Tehran" in this context represents not just a geographic location but a critical jurisdictional entity where legal precedents set can influence the broader national framework. Therefore, improvements made here serve as a pilot model for potential expansion to other provinces. The project focuses on three pillars: Digital Transformation, Human Capital Development, and Public Trust Enhancement.</w:t>
      </w:r>
    </w:p>
    <w:bookmarkEnd w:id="21"/>
    <w:bookmarkStart w:id="22" w:name="problem-statement"/>
    <w:p>
      <w:pPr>
        <w:pStyle w:val="Heading2"/>
      </w:pPr>
      <w:r>
        <w:t xml:space="preserve">3. Problem Statement</w:t>
      </w:r>
    </w:p>
    <w:p>
      <w:pPr>
        <w:pStyle w:val="FirstParagraph"/>
      </w:pPr>
      <w:r>
        <w:t xml:space="preserve">Prior to the implementation of this project, the judicial system in Iran Tehran faced several critical issues:</w:t>
      </w:r>
    </w:p>
    <w:p>
      <w:pPr>
        <w:numPr>
          <w:ilvl w:val="0"/>
          <w:numId w:val="1001"/>
        </w:numPr>
        <w:pStyle w:val="Compact"/>
      </w:pPr>
      <w:r>
        <w:rPr>
          <w:bCs/>
          <w:b/>
        </w:rPr>
        <w:t xml:space="preserve">Caseload Overload:</w:t>
      </w:r>
      <w:r>
        <w:t xml:space="preserve">Judges were burdened by excessive paperwork and manual filing systems, leading to delays in verdicts that stretched over months or even years.</w:t>
      </w:r>
    </w:p>
    <w:p>
      <w:pPr>
        <w:numPr>
          <w:ilvl w:val="0"/>
          <w:numId w:val="1001"/>
        </w:numPr>
        <w:pStyle w:val="Compact"/>
      </w:pPr>
      <w:r>
        <w:rPr>
          <w:bCs/>
          <w:b/>
        </w:rPr>
        <w:t xml:space="preserve">Inconsistency in Rulings:</w:t>
      </w:r>
      <w:r>
        <w:t xml:space="preserve">Lack of access to a centralized database of previous rulings sometimes led to inconsistent legal interpretations across different districts in Tehran.</w:t>
      </w:r>
    </w:p>
    <w:p>
      <w:pPr>
        <w:numPr>
          <w:ilvl w:val="0"/>
          <w:numId w:val="1001"/>
        </w:numPr>
        <w:pStyle w:val="Compact"/>
      </w:pPr>
      <w:r>
        <w:rPr>
          <w:bCs/>
          <w:b/>
        </w:rPr>
        <w:t xml:space="preserve">Transparency Gaps:</w:t>
      </w:r>
      <w:r>
        <w:t xml:space="preserve">Citizens often expressed frustration regarding the opacity of court procedures, leading to skepticism about the fairness of judicial outcomes.</w:t>
      </w:r>
    </w:p>
    <w:p>
      <w:pPr>
        <w:numPr>
          <w:ilvl w:val="0"/>
          <w:numId w:val="1001"/>
        </w:numPr>
        <w:pStyle w:val="Compact"/>
      </w:pPr>
      <w:r>
        <w:rPr>
          <w:bCs/>
          <w:b/>
        </w:rPr>
        <w:t xml:space="preserve">Skill Gaps:</w:t>
      </w:r>
      <w:r>
        <w:t xml:space="preserve">Some members of the judiciary required updated training in digital literacy and modern legal research methodologies to cope with evolving case complexities.</w:t>
      </w:r>
    </w:p>
    <w:bookmarkEnd w:id="22"/>
    <w:bookmarkStart w:id="23" w:name="project-objectives"/>
    <w:p>
      <w:pPr>
        <w:pStyle w:val="Heading2"/>
      </w:pPr>
      <w:r>
        <w:t xml:space="preserve">4. Project Objectives</w:t>
      </w:r>
    </w:p>
    <w:p>
      <w:pPr>
        <w:pStyle w:val="FirstParagraph"/>
      </w:pPr>
      <w:r>
        <w:t xml:space="preserve">The primary goals of this project are structured to address the aforementioned challenges directly:</w:t>
      </w:r>
    </w:p>
    <w:p>
      <w:pPr>
        <w:numPr>
          <w:ilvl w:val="0"/>
          <w:numId w:val="1002"/>
        </w:numPr>
        <w:pStyle w:val="Compact"/>
      </w:pPr>
      <w:r>
        <w:rPr>
          <w:bCs/>
          <w:b/>
        </w:rPr>
        <w:t xml:space="preserve">Digital Integration for Judges:</w:t>
      </w:r>
      <w:r>
        <w:t xml:space="preserve">To equip every Judge in Iran Tehran with a secure, AI-assisted digital dashboard that consolidates case files, legal precedents, and evidentiary documents into a single interface.</w:t>
      </w:r>
    </w:p>
    <w:p>
      <w:pPr>
        <w:numPr>
          <w:ilvl w:val="0"/>
          <w:numId w:val="1002"/>
        </w:numPr>
        <w:pStyle w:val="Compact"/>
      </w:pPr>
      <w:r>
        <w:rPr>
          <w:bCs/>
          <w:b/>
        </w:rPr>
        <w:t xml:space="preserve">Efficiency Enhancement:</w:t>
      </w:r>
      <w:r>
        <w:t xml:space="preserve">To reduce the average time required to adjudicate standard civil and commercial cases by 40% within the first two years of implementation.</w:t>
      </w:r>
    </w:p>
    <w:p>
      <w:pPr>
        <w:numPr>
          <w:ilvl w:val="0"/>
          <w:numId w:val="1002"/>
        </w:numPr>
        <w:pStyle w:val="Compact"/>
      </w:pPr>
      <w:r>
        <w:rPr>
          <w:bCs/>
          <w:b/>
        </w:rPr>
        <w:t xml:space="preserve">Standardization of Justice:</w:t>
      </w:r>
      <w:r>
        <w:t xml:space="preserve">To create a unified legal repository that ensures consistency in rulings across all Tehran courts, thereby reinforcing the rule of law.</w:t>
      </w:r>
    </w:p>
    <w:p>
      <w:pPr>
        <w:numPr>
          <w:ilvl w:val="0"/>
          <w:numId w:val="1002"/>
        </w:numPr>
        <w:pStyle w:val="Compact"/>
      </w:pPr>
      <w:r>
        <w:rPr>
          <w:bCs/>
          <w:b/>
        </w:rPr>
        <w:t xml:space="preserve">User-Centric Services:</w:t>
      </w:r>
      <w:r>
        <w:t xml:space="preserve">To provide citizens with real-time tracking of their case status through a public portal, fostering greater trust in the judicial system.</w:t>
      </w:r>
    </w:p>
    <w:bookmarkEnd w:id="23"/>
    <w:bookmarkStart w:id="27" w:name="methodology-and-implementation-strategy"/>
    <w:p>
      <w:pPr>
        <w:pStyle w:val="Heading2"/>
      </w:pPr>
      <w:r>
        <w:t xml:space="preserve">5. Methodology and Implementation Strategy</w:t>
      </w:r>
    </w:p>
    <w:p>
      <w:pPr>
        <w:pStyle w:val="FirstParagraph"/>
      </w:pPr>
      <w:r>
        <w:t xml:space="preserve">The project will be executed in three distinct phases over a period of 36 months.</w:t>
      </w:r>
    </w:p>
    <w:bookmarkStart w:id="24" w:name="X37a5bb23143931c137d88896f525228e6e2bdbe"/>
    <w:p>
      <w:pPr>
        <w:pStyle w:val="Heading3"/>
      </w:pPr>
      <w:r>
        <w:rPr>
          <w:bCs/>
          <w:b/>
        </w:rPr>
        <w:t xml:space="preserve">a) Phase I: Infrastructure Development (Months 1-12)</w:t>
      </w:r>
    </w:p>
    <w:p>
      <w:pPr>
        <w:pStyle w:val="FirstParagraph"/>
      </w:pPr>
      <w:r>
        <w:t xml:space="preserve">This phase involves the construction of the central server architecture and the development of software tailored for Iranian legal codes. Special attention will be paid to data security, ensuring that sensitive information regarding litigants in Iran Tehran is protected against cyber threats. Training modules will be developed specifically for Judges, focusing on how to utilize these new tools effectively.</w:t>
      </w:r>
    </w:p>
    <w:bookmarkEnd w:id="24"/>
    <w:bookmarkStart w:id="25" w:name="X1f3f3cced9bc93308dfa0e56ec839836523f4ee"/>
    <w:p>
      <w:pPr>
        <w:pStyle w:val="Heading3"/>
      </w:pPr>
      <w:r>
        <w:rPr>
          <w:bCs/>
          <w:b/>
        </w:rPr>
        <w:t xml:space="preserve">b) Phase II: Pilot Testing and Training (Months 13-24)</w:t>
      </w:r>
    </w:p>
    <w:p>
      <w:pPr>
        <w:pStyle w:val="FirstParagraph"/>
      </w:pPr>
      <w:r>
        <w:t xml:space="preserve">A select group of courts in key districts of Tehran will undergo a pilot run. Judges from this cohort will receive intensive training on the new digital systems. Feedback loops will be established to identify technical glitches or procedural bottlenecks. This stage is crucial for refining the workflow before a city-wide rollout.</w:t>
      </w:r>
    </w:p>
    <w:bookmarkEnd w:id="25"/>
    <w:bookmarkStart w:id="26" w:name="X2cc1c7f4f5020443866c268230abdb8101ece58"/>
    <w:p>
      <w:pPr>
        <w:pStyle w:val="Heading3"/>
      </w:pPr>
      <w:r>
        <w:rPr>
          <w:bCs/>
          <w:b/>
        </w:rPr>
        <w:t xml:space="preserve">c) Phase III: Full Deployment and Monitoring (Months 25-36)</w:t>
      </w:r>
    </w:p>
    <w:p>
      <w:pPr>
        <w:pStyle w:val="FirstParagraph"/>
      </w:pPr>
      <w:r>
        <w:t xml:space="preserve">The system will be deployed across all judicial centers in Iran Tehran. A dedicated monitoring unit will track key performance indicators (KPIs) such as case resolution time, citizen satisfaction rates, and error rates in digital filings. Continuous professional development workshops will be held to ensure Judges remain proficient with the evolving technology.</w:t>
      </w:r>
    </w:p>
    <w:bookmarkEnd w:id="26"/>
    <w:bookmarkEnd w:id="27"/>
    <w:bookmarkStart w:id="28" w:name="expected-outcomes-and-benefits"/>
    <w:p>
      <w:pPr>
        <w:pStyle w:val="Heading2"/>
      </w:pPr>
      <w:r>
        <w:t xml:space="preserve">6. Expected Outcomes and Benefits</w:t>
      </w:r>
    </w:p>
    <w:p>
      <w:pPr>
        <w:pStyle w:val="FirstParagraph"/>
      </w:pPr>
      <w:r>
        <w:t xml:space="preserve">The successful implementation of this project will yield substantial benefits for the judiciary and the public alike:</w:t>
      </w:r>
    </w:p>
    <w:p>
      <w:pPr>
        <w:numPr>
          <w:ilvl w:val="0"/>
          <w:numId w:val="1003"/>
        </w:numPr>
        <w:pStyle w:val="Compact"/>
      </w:pPr>
      <w:r>
        <w:rPr>
          <w:bCs/>
          <w:b/>
        </w:rPr>
        <w:t xml:space="preserve">Faster Justice Delivery:</w:t>
      </w:r>
      <w:r>
        <w:t xml:space="preserve">Judges will be able to review cases more quickly, leading to shorter waiting times for litigants in Iran Tehran.</w:t>
      </w:r>
    </w:p>
    <w:p>
      <w:pPr>
        <w:numPr>
          <w:ilvl w:val="0"/>
          <w:numId w:val="1003"/>
        </w:numPr>
        <w:pStyle w:val="Compact"/>
      </w:pPr>
      <w:r>
        <w:rPr>
          <w:bCs/>
          <w:b/>
        </w:rPr>
        <w:t xml:space="preserve">Data-Driven Decisions:</w:t>
      </w:r>
      <w:r>
        <w:t xml:space="preserve">The AI-assisted tools will help Judges identify relevant precedents and legal statutes instantly, reducing the likelihood of human error.</w:t>
      </w:r>
    </w:p>
    <w:p>
      <w:pPr>
        <w:numPr>
          <w:ilvl w:val="0"/>
          <w:numId w:val="1003"/>
        </w:numPr>
        <w:pStyle w:val="Compact"/>
      </w:pPr>
      <w:r>
        <w:rPr>
          <w:bCs/>
          <w:b/>
        </w:rPr>
        <w:t xml:space="preserve">Increased Transparency:</w:t>
      </w:r>
      <w:r>
        <w:t xml:space="preserve">Citizens will have greater visibility into their case progress, enhancing the perceived legitimacy of the court system.</w:t>
      </w:r>
    </w:p>
    <w:p>
      <w:pPr>
        <w:numPr>
          <w:ilvl w:val="0"/>
          <w:numId w:val="1003"/>
        </w:numPr>
        <w:pStyle w:val="Compact"/>
      </w:pPr>
      <w:r>
        <w:rPr>
          <w:bCs/>
          <w:b/>
        </w:rPr>
        <w:t xml:space="preserve">Economic Stability:</w:t>
      </w:r>
      <w:r>
        <w:t xml:space="preserve">Faster resolution of commercial disputes will encourage business confidence and investment in Tehran’s economy.</w:t>
      </w:r>
    </w:p>
    <w:bookmarkEnd w:id="28"/>
    <w:bookmarkStart w:id="29" w:name="risk-management"/>
    <w:p>
      <w:pPr>
        <w:pStyle w:val="Heading2"/>
      </w:pPr>
      <w:r>
        <w:t xml:space="preserve">7. Risk Management</w:t>
      </w:r>
    </w:p>
    <w:p>
      <w:pPr>
        <w:pStyle w:val="FirstParagraph"/>
      </w:pPr>
      <w:r>
        <w:t xml:space="preserve">Risks associated with this project include potential resistance to change among older judicial staff, cybersecurity threats, and technical failures during the transition period. To mitigate these risks:</w:t>
      </w:r>
    </w:p>
    <w:p>
      <w:pPr>
        <w:numPr>
          <w:ilvl w:val="0"/>
          <w:numId w:val="1004"/>
        </w:numPr>
        <w:pStyle w:val="Compact"/>
      </w:pPr>
      <w:r>
        <w:t xml:space="preserve">A comprehensive change management program will be launched to encourage adoption among all Judges.</w:t>
      </w:r>
    </w:p>
    <w:p>
      <w:pPr>
        <w:numPr>
          <w:ilvl w:val="0"/>
          <w:numId w:val="1004"/>
        </w:numPr>
        <w:pStyle w:val="Compact"/>
      </w:pPr>
      <w:r>
        <w:t xml:space="preserve">Military-grade encryption and redundant server systems will be implemented to ensure data integrity.</w:t>
      </w:r>
    </w:p>
    <w:p>
      <w:pPr>
        <w:numPr>
          <w:ilvl w:val="0"/>
          <w:numId w:val="1004"/>
        </w:numPr>
        <w:pStyle w:val="Compact"/>
      </w:pPr>
      <w:r>
        <w:t xml:space="preserve">A robust technical support team will be available 24/7 during the initial rollout phase in Iran Tehran.</w:t>
      </w:r>
    </w:p>
    <w:bookmarkEnd w:id="29"/>
    <w:bookmarkStart w:id="30" w:name="conclusion"/>
    <w:p>
      <w:pPr>
        <w:pStyle w:val="Heading2"/>
      </w:pPr>
      <w:r>
        <w:t xml:space="preserve">8. Conclusion</w:t>
      </w:r>
    </w:p>
    <w:p>
      <w:pPr>
        <w:pStyle w:val="FirstParagraph"/>
      </w:pPr>
      <w:r>
        <w:t xml:space="preserve">This Project Report underscores the necessity of modernizing the judicial framework in Iran Tehran to meet contemporary demands for efficiency and transparency. By empowering every Judge with advanced digital tools and providing them with continuous training, we can create a more responsive and reliable legal system. The success of this initiative will not only benefit the residents of Tehran but also serve as a benchmark for judicial reform across the country. It is imperative that stakeholders remain committed to this vision to ensure that justice is delivered swiftly, fairly, and accessibly.</w:t>
      </w:r>
    </w:p>
    <w:bookmarkEnd w:id="30"/>
    <w:bookmarkStart w:id="31" w:name="recommendations"/>
    <w:p>
      <w:pPr>
        <w:pStyle w:val="Heading2"/>
      </w:pPr>
      <w:r>
        <w:t xml:space="preserve">9. Recommendations</w:t>
      </w:r>
    </w:p>
    <w:p>
      <w:pPr>
        <w:pStyle w:val="FirstParagraph"/>
      </w:pPr>
      <w:r>
        <w:t xml:space="preserve">We recommend immediate approval of the budget allocation for Phase I and the establishment of a cross-departmental steering committee comprising senior Judges, IT specialists, and legal scholars from Tehran University. This collaborative approach will ensure that technological advancements are harmonized with legal expertise.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Modernization and Institutional Strengthening in Iran Tehran</dc:title>
  <dc:creator/>
  <dc:language>en</dc:language>
  <cp:keywords/>
  <dcterms:created xsi:type="dcterms:W3CDTF">2026-07-29T04:44:09Z</dcterms:created>
  <dcterms:modified xsi:type="dcterms:W3CDTF">2026-07-29T04:44:09Z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