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a5f4c1c21a7e5da0ce600ea98ecfa1b98978e01"/>
    <w:p>
      <w:pPr>
        <w:pStyle w:val="Heading1"/>
      </w:pPr>
      <w:r>
        <w:t xml:space="preserve">Project Report: Establishing Legal Expertise in Morocco Casablanca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Senior Partners and Stakeholders</w:t>
      </w:r>
    </w:p>
    <w:p>
      <w:pPr>
        <w:pStyle w:val="BodyText"/>
      </w:pPr>
      <w:r>
        <w:br/>
      </w:r>
    </w:p>
    <w:p>
      <w:pPr>
        <w:pStyle w:val="BodyText"/>
      </w:pPr>
      <w:r>
        <w:rPr>
          <w:iCs/>
          <w:i/>
        </w:rPr>
        <w:t xml:space="preserve">All 'Project Report' references herein strictly adhere to the requirements of international business standards.</w:t>
      </w:r>
    </w:p>
    <w:bookmarkEnd w:id="20"/>
    <w:bookmarkStart w:id="21" w:name="executive-summary"/>
    <w:p>
      <w:pPr>
        <w:pStyle w:val="Heading1"/>
      </w:pPr>
      <w:r>
        <w:t xml:space="preserve">Executive Summary</w:t>
      </w:r>
    </w:p>
    <w:p>
      <w:pPr>
        <w:pStyle w:val="FirstParagraph"/>
      </w:pPr>
      <w:r>
        <w:t xml:space="preserve">This Project Report outlines the strategic initiative to establish a robust legal framework and operational presence for our firm in Morocco Casablanca. As the economic hub of North Africa, Casablanca represents a critical pivot point for cross-border investments between Europe, Africa, and the Middle East. The primary objective of this report is to analyze the specific nuances of engaging with a Lawyer in this dynamic region, ensuring compliance with local statutes while maximizing operational efficiency.</w:t>
      </w:r>
    </w:p>
    <w:p>
      <w:pPr>
        <w:pStyle w:val="BodyText"/>
      </w:pPr>
      <w:r>
        <w:t xml:space="preserve">The findings indicate that navigating the legal landscape in Morocco Casablanca requires more than standard international counsel; it demands deep-rooted knowledge of civil law traditions adapted within an Islamic framework. Consequently, our strategy focuses on partnerships with seasoned local practitioners who can serve as a Lawyer for complex commercial disputes, regulatory compliance, and corporate structuring.</w:t>
      </w:r>
    </w:p>
    <w:bookmarkEnd w:id="21"/>
    <w:bookmarkStart w:id="22" w:name="Xcfb06b794e2360e8155a24f3c27c875ad70d70a"/>
    <w:p>
      <w:pPr>
        <w:pStyle w:val="Heading1"/>
      </w:pPr>
      <w:r>
        <w:t xml:space="preserve">Introduction: The Strategic Importance of Morocco Casablanca</w:t>
      </w:r>
    </w:p>
    <w:p>
      <w:pPr>
        <w:pStyle w:val="FirstParagraph"/>
      </w:pPr>
      <w:r>
        <w:t xml:space="preserve">Morocco Casablanca is not merely a geographic location; it is the beating heart of Morocco's economy. Accounting for a significant portion of the nation's GDP, the city offers unparalleled access to port logistics, manufacturing hubs, and financial services. For international businesses looking to expand into Africa, Casablanca serves as the gateway.</w:t>
      </w:r>
    </w:p>
    <w:p>
      <w:pPr>
        <w:pStyle w:val="BodyText"/>
      </w:pPr>
      <w:r>
        <w:t xml:space="preserve">However this expansion cannot occur in a vacuum. It requires precise legal navigation. The term "Lawyer" here does not refer simply to litigation support but encompasses a holistic advisory role that includes corporate governance, real estate law, labor codes, and intellectual property rights unique to the Maghreb region. This Project Report aims to detail how securing expert legal representation in Morocco Casablanca mitigates risk and fosters sustainable growth.</w:t>
      </w:r>
    </w:p>
    <w:bookmarkEnd w:id="22"/>
    <w:bookmarkStart w:id="25" w:name="legal-framework-overview"/>
    <w:p>
      <w:pPr>
        <w:pStyle w:val="Heading1"/>
      </w:pPr>
      <w:r>
        <w:t xml:space="preserve">Legal Framework Overview</w:t>
      </w:r>
    </w:p>
    <w:bookmarkStart w:id="23" w:name="the-hybrid-legal-system"/>
    <w:p>
      <w:pPr>
        <w:pStyle w:val="Heading2"/>
      </w:pPr>
      <w:r>
        <w:t xml:space="preserve">The Hybrid Legal System</w:t>
      </w:r>
    </w:p>
    <w:p>
      <w:pPr>
        <w:pStyle w:val="FirstParagraph"/>
      </w:pPr>
      <w:r>
        <w:t xml:space="preserve">Morocco operates under a mixed legal system, primarily influenced by French civil law, Islamic law (Sharia), and customary Berber traditions. Understanding this tripartite structure is essential for any Lawyer operating in the region. For instance, while commercial contracts are largely secular and aligned with international standards, family law and certain aspects of inheritance remain governed by Sharia principles.</w:t>
      </w:r>
    </w:p>
    <w:p>
      <w:pPr>
        <w:pStyle w:val="BodyText"/>
      </w:pPr>
      <w:r>
        <w:t xml:space="preserve">A competent Lawyer must be proficient in interpreting how these diverse legal sources interact. In Morocco Casablanca, where modern multinational corporations sit alongside traditional local businesses, the ability to bridge these legal cultures is paramount.</w:t>
      </w:r>
    </w:p>
    <w:bookmarkEnd w:id="23"/>
    <w:bookmarkStart w:id="24" w:name="Xe0fb2f19b6817539960d09ae49e9cbaae2c15b0"/>
    <w:p>
      <w:pPr>
        <w:pStyle w:val="Heading2"/>
      </w:pPr>
      <w:r>
        <w:t xml:space="preserve">The Role of the Lawyer in Corporate Compliance</w:t>
      </w:r>
    </w:p>
    <w:p>
      <w:pPr>
        <w:pStyle w:val="FirstParagraph"/>
      </w:pPr>
      <w:r>
        <w:t xml:space="preserve">In recent years, Morocco has implemented significant reforms to improve its business climate. The Code of Investments and various labor law updates have aimed to attract foreign direct investment. However compliance remains complex. A Lawyer specializing in Moroccan Casablanca's regulatory environment ensures that our operations adhere to:</w:t>
      </w:r>
    </w:p>
    <w:p>
      <w:pPr>
        <w:numPr>
          <w:ilvl w:val="0"/>
          <w:numId w:val="1001"/>
        </w:numPr>
        <w:pStyle w:val="Compact"/>
      </w:pPr>
      <w:r>
        <w:rPr>
          <w:bCs/>
          <w:b/>
        </w:rPr>
        <w:t xml:space="preserve">The Moroccan Commercial Code:</w:t>
      </w:r>
    </w:p>
    <w:p>
      <w:pPr>
        <w:numPr>
          <w:ilvl w:val="0"/>
          <w:numId w:val="1003"/>
        </w:numPr>
        <w:pStyle w:val="Compact"/>
      </w:pPr>
      <w:r>
        <w:rPr>
          <w:bCs/>
          <w:b/>
        </w:rPr>
        <w:t xml:space="preserve">The Labor Code:</w:t>
      </w:r>
    </w:p>
    <w:p>
      <w:pPr>
        <w:numPr>
          <w:ilvl w:val="0"/>
          <w:numId w:val="1005"/>
        </w:numPr>
        <w:pStyle w:val="Compact"/>
      </w:pPr>
      <w:r>
        <w:rPr>
          <w:bCs/>
          <w:b/>
        </w:rPr>
        <w:t xml:space="preserve">Tax Regulations:</w:t>
      </w:r>
    </w:p>
    <w:bookmarkEnd w:id="24"/>
    <w:bookmarkEnd w:id="25"/>
    <w:bookmarkStart w:id="26" w:name="X4bd45cb1a6c068efe31aa52d27bda07a53e78fe"/>
    <w:p>
      <w:pPr>
        <w:pStyle w:val="Heading1"/>
      </w:pPr>
      <w:r>
        <w:t xml:space="preserve">Case Study: Litigation and Dispute Resolution in Casablanca</w:t>
      </w:r>
    </w:p>
    <w:p>
      <w:pPr>
        <w:pStyle w:val="FirstParagraph"/>
      </w:pPr>
      <w:r>
        <w:t xml:space="preserve">To illustrate the practical application of legal expertise in Morocco Casablanca, we examine a hypothetical scenario involving a commercial dispute. Imagine an international firm entering into a joint venture with a local entity in the industrial zone of Ain Sebaa. Disagreements arise regarding supply chain delays and payment terms.</w:t>
      </w:r>
    </w:p>
    <w:p>
      <w:pPr>
        <w:pStyle w:val="BodyText"/>
      </w:pPr>
      <w:r>
        <w:t xml:space="preserve">In such scenarios, the role of our designated Lawyer becomes critical. Unlike common law jurisdictions where precedent is king, Moroccan courts rely heavily on statutory interpretation and judicial codes. A Lawyer must draft pleadings that align with the Civil Procedure Code specific to the Casablanca tribunals.</w:t>
      </w:r>
    </w:p>
    <w:p>
      <w:pPr>
        <w:pStyle w:val="BodyText"/>
      </w:pPr>
      <w:r>
        <w:t xml:space="preserve">Furthermore, alternative dispute resolution (ADR) mechanisms are gaining traction in Morocco Casablanca. Mediation and arbitration are increasingly preferred due to their speed and confidentiality compared to public court proceedings. Our strategy involves empowering our Lawyer to negotiate settlements before escalating to litigation, thereby preserving business relationships while protecting legal interests.</w:t>
      </w:r>
    </w:p>
    <w:bookmarkEnd w:id="26"/>
    <w:bookmarkStart w:id="27" w:name="challenges-and-risk-mitigation"/>
    <w:p>
      <w:pPr>
        <w:pStyle w:val="Heading1"/>
      </w:pPr>
      <w:r>
        <w:t xml:space="preserve">Challenges and Risk Mitigation</w:t>
      </w:r>
    </w:p>
    <w:p>
      <w:pPr>
        <w:pStyle w:val="FirstParagraph"/>
      </w:pPr>
      <w:r>
        <w:t xml:space="preserve">Navigating the legal landscape in any foreign jurisdiction presents inherent challenges. In Morocco Casablanca, specific risks include:</w:t>
      </w:r>
    </w:p>
    <w:p>
      <w:pPr>
        <w:numPr>
          <w:ilvl w:val="0"/>
          <w:numId w:val="1007"/>
        </w:numPr>
        <w:pStyle w:val="Compact"/>
      </w:pPr>
      <w:r>
        <w:rPr>
          <w:bCs/>
          <w:b/>
        </w:rPr>
        <w:t xml:space="preserve">Bureaucracy and Red Tape:</w:t>
      </w:r>
    </w:p>
    <w:p>
      <w:pPr>
        <w:numPr>
          <w:ilvl w:val="0"/>
          <w:numId w:val="1009"/>
        </w:numPr>
        <w:pStyle w:val="Compact"/>
      </w:pPr>
      <w:r>
        <w:rPr>
          <w:bCs/>
          <w:b/>
        </w:rPr>
        <w:t xml:space="preserve">Cultural and Linguistic Barriers:</w:t>
      </w:r>
    </w:p>
    <w:p>
      <w:pPr>
        <w:numPr>
          <w:ilvl w:val="0"/>
          <w:numId w:val="1011"/>
        </w:numPr>
        <w:pStyle w:val="Compact"/>
      </w:pPr>
      <w:r>
        <w:rPr>
          <w:bCs/>
          <w:b/>
        </w:rPr>
        <w:t xml:space="preserve">Corruption and Integrity:</w:t>
      </w:r>
    </w:p>
    <w:bookmarkEnd w:id="27"/>
    <w:bookmarkStart w:id="28" w:name="Xde573089c1f4b67d24732c6a8d3c4eac2a85ba1"/>
    <w:p>
      <w:pPr>
        <w:pStyle w:val="Heading1"/>
      </w:pPr>
      <w:r>
        <w:t xml:space="preserve">Recommendations and Strategic Path Forward</w:t>
      </w:r>
    </w:p>
    <w:p>
      <w:pPr>
        <w:pStyle w:val="FirstParagraph"/>
      </w:pPr>
      <w:r>
        <w:t xml:space="preserve">Based on the analysis presented in this Project Report, we recommend the following actions:</w:t>
      </w:r>
    </w:p>
    <w:p>
      <w:pPr>
        <w:numPr>
          <w:ilvl w:val="0"/>
          <w:numId w:val="1013"/>
        </w:numPr>
        <w:pStyle w:val="Compact"/>
      </w:pPr>
      <w:r>
        <w:rPr>
          <w:bCs/>
          <w:b/>
        </w:rPr>
        <w:t xml:space="preserve">Hire Specialized Local Counsel:</w:t>
      </w:r>
    </w:p>
    <w:p>
      <w:pPr>
        <w:numPr>
          <w:ilvl w:val="0"/>
          <w:numId w:val="1015"/>
        </w:numPr>
        <w:pStyle w:val="Compact"/>
      </w:pPr>
      <w:r>
        <w:rPr>
          <w:bCs/>
          <w:b/>
        </w:rPr>
        <w:t xml:space="preserve">Rigorous Due Diligence:</w:t>
      </w:r>
    </w:p>
    <w:p>
      <w:pPr>
        <w:numPr>
          <w:ilvl w:val="0"/>
          <w:numId w:val="1017"/>
        </w:numPr>
        <w:pStyle w:val="Compact"/>
      </w:pPr>
      <w:r>
        <w:rPr>
          <w:bCs/>
          <w:b/>
        </w:rPr>
        <w:t xml:space="preserve">Ongoing Legal Advisory:</w:t>
      </w:r>
    </w:p>
    <w:p>
      <w:pPr>
        <w:pStyle w:val="FirstParagraph"/>
      </w:pPr>
      <w:r>
        <w:rPr>
          <w:iCs/>
          <w:i/>
        </w:rPr>
        <w:t xml:space="preserve">The integration of a dedicated Lawyer into the Moroccan Casablanca operations is not an expense but an investment in stability and growth.</w:t>
      </w:r>
    </w:p>
    <w:p>
      <w:pPr>
        <w:pStyle w:val="BodyText"/>
      </w:pPr>
      <w:r>
        <w:t xml:space="preserve">In conclusion, this Project Report underscores the necessity of integrating specialized legal expertise into our expansion plans for Morocco Casablanca. The city offers immense opportunity, but it also demands respect for its complex legal fabric. By appointing a skilled Lawyer who understands the intricacies of Moroccan law and local business culture, we safeguard our interests and position ourselves as a responsible and compliant entity in the region.</w:t>
      </w:r>
    </w:p>
    <w:p>
      <w:pPr>
        <w:pStyle w:val="BodyText"/>
      </w:pPr>
      <w:r>
        <w:t xml:space="preserve">We urge the board to approve this initiative immediately to ensure that our legal infrastructure is in place before significant capital deployment begins. The synergy between international ambition and local legal precision will be the cornerstone of our success in Morocco Casablanca.</w:t>
      </w:r>
    </w:p>
    <w:p>
      <w:pPr>
        <w:pStyle w:val="BodyText"/>
      </w:pPr>
      <w:r>
        <w:t xml:space="preserve">End of Project Report on Legal Services in Morocco Casablanca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Morocco Casablanca</dc:title>
  <dc:creator/>
  <dc:language>en</dc:language>
  <cp:keywords/>
  <dcterms:created xsi:type="dcterms:W3CDTF">2026-07-29T05:56:05Z</dcterms:created>
  <dcterms:modified xsi:type="dcterms:W3CDTF">2026-07-29T05:56:05Z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