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Consultancy</w:t>
      </w:r>
      <w:r>
        <w:t xml:space="preserve"> </w:t>
      </w:r>
      <w:r>
        <w:t xml:space="preserve">and</w:t>
      </w:r>
      <w:r>
        <w:t xml:space="preserve"> </w:t>
      </w:r>
      <w:r>
        <w:t xml:space="preserve">Advocacy</w:t>
      </w:r>
      <w:r>
        <w:t xml:space="preserve"> </w:t>
      </w:r>
      <w:r>
        <w:t xml:space="preserve">Services</w:t>
      </w:r>
      <w:r>
        <w:t xml:space="preserve"> </w:t>
      </w:r>
      <w:r>
        <w:t xml:space="preserve">in</w:t>
      </w:r>
      <w:r>
        <w:t xml:space="preserve"> </w:t>
      </w:r>
      <w:r>
        <w:t xml:space="preserve">Myanmar,</w:t>
      </w:r>
      <w:r>
        <w:t xml:space="preserve"> </w:t>
      </w:r>
      <w:r>
        <w:t xml:space="preserve">Yangon</w:t>
      </w:r>
    </w:p>
    <w:bookmarkStart w:id="34" w:name="Xad195edc4fc7ab0b356da2c705dcac3fcc71afd"/>
    <w:p>
      <w:pPr>
        <w:pStyle w:val="Heading1"/>
      </w:pPr>
      <w:r>
        <w:t xml:space="preserve">Project Report Establishment of Comprehensive Legal Consultancy and Advocacy Services in Myanmar, Yangon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Board of Directors</w:t>
      </w:r>
      <w:r>
        <w:br/>
      </w:r>
      <w:r>
        <w:rPr>
          <w:bCs/>
          <w:b/>
        </w:rPr>
        <w:t xml:space="preserve">From:</w:t>
      </w:r>
      <w:r>
        <w:t xml:space="preserve"> </w:t>
      </w:r>
      <w:r>
        <w:t xml:space="preserve">Project Management Office</w:t>
      </w:r>
      <w:r>
        <w:br/>
      </w:r>
    </w:p>
    <w:p>
      <w:pPr>
        <w:pStyle w:val="BodyText"/>
      </w:pPr>
      <w:r>
        <w:t xml:space="preserve">Subject:: Strategic Framework for Legal Services in the Yangon Region</w:t>
      </w:r>
    </w:p>
    <w:bookmarkStart w:id="20" w:name="executive-summary"/>
    <w:p>
      <w:pPr>
        <w:pStyle w:val="Heading2"/>
      </w:pPr>
      <w:r>
        <w:t xml:space="preserve">1. Executive Summary</w:t>
      </w:r>
    </w:p>
    <w:p>
      <w:pPr>
        <w:pStyle w:val="FirstParagraph"/>
      </w:pPr>
      <w:r>
        <w:t xml:space="preserve">This Project Report outlines the strategic initiative to establish a robust, compliant, and efficient legal consultancy firm within the economic capital of Myanmar, Yangon. The primary objective is to bridge the growing gap between local business entities and international standards in legal representation. As Myanmar continues to navigate complex geopolitical and economic landscapes, the demand for specialized</w:t>
      </w:r>
      <w:r>
        <w:t xml:space="preserve"> </w:t>
      </w:r>
      <w:r>
        <w:rPr>
          <w:bCs/>
          <w:b/>
        </w:rPr>
        <w:t xml:space="preserve">Lawyer</w:t>
      </w:r>
      <w:r>
        <w:t xml:space="preserve"> </w:t>
      </w:r>
      <w:r>
        <w:t xml:space="preserve">services has intensified significantly. This document details the operational framework, market analysis, regulatory compliance requirements, and projected outcomes of establishing a premier legal practice in Yangon.</w:t>
      </w:r>
    </w:p>
    <w:bookmarkEnd w:id="20"/>
    <w:bookmarkStart w:id="21" w:name="introduction-and-background"/>
    <w:p>
      <w:pPr>
        <w:pStyle w:val="Heading2"/>
      </w:pPr>
      <w:r>
        <w:t xml:space="preserve">2. Introduction and Background</w:t>
      </w:r>
    </w:p>
    <w:p>
      <w:pPr>
        <w:pStyle w:val="FirstParagraph"/>
      </w:pPr>
      <w:r>
        <w:t xml:space="preserve">The legal landscape in Myanmar has undergone substantial transformation over the past decade. Following periods of political transition and recent economic shifts, the need for sophisticated legal advice has become critical for both domestic enterprises seeking to expand and foreign investors eyeing opportunities in Southeast Asia. Yangon, as the commercial hub of Myanmar, hosts a dense concentration of businesses requiring diverse legal support.</w:t>
      </w:r>
    </w:p>
    <w:p>
      <w:pPr>
        <w:pStyle w:val="BodyText"/>
      </w:pPr>
      <w:r>
        <w:t xml:space="preserve">This project aims to create a full-service law firm that operates with international best practices while maintaining deep respect for local customs and regulations. The core mission is to provide reliable, transparent, and strategic legal counsel. By focusing on Yangon as the initial base of operations, the firm will position itself as a trusted partner in navigating the intricate web of Myanmar's legal system.</w:t>
      </w:r>
    </w:p>
    <w:bookmarkEnd w:id="21"/>
    <w:bookmarkStart w:id="24" w:name="Xab87031d5ceb2b5ddac559fc67d97ba144d1d9f"/>
    <w:p>
      <w:pPr>
        <w:pStyle w:val="Heading2"/>
      </w:pPr>
      <w:r>
        <w:t xml:space="preserve">3. Market Analysis: The Need for Expert Lawyer Services in Yangon</w:t>
      </w:r>
    </w:p>
    <w:bookmarkStart w:id="22" w:name="X010fa348d1bfde388f027ab647aad5d14493952"/>
    <w:p>
      <w:pPr>
        <w:pStyle w:val="Heading3"/>
      </w:pPr>
      <w:r>
        <w:t xml:space="preserve">3.1 Economic Growth and Regulatory Complexity</w:t>
      </w:r>
    </w:p>
    <w:p>
      <w:pPr>
        <w:pStyle w:val="FirstParagraph"/>
      </w:pPr>
      <w:r>
        <w:t xml:space="preserve">The economy of Myanmar, particularly centered in Yangon, presents unique challenges. Foreign Direct Investment (FDI) regulations, land ownership laws, labor codes, and tax compliance measures are frequently subject to administrative interpretation and change. Consequently, local businesses and international partners require a</w:t>
      </w:r>
      <w:r>
        <w:t xml:space="preserve"> </w:t>
      </w:r>
      <w:r>
        <w:rPr>
          <w:bCs/>
          <w:b/>
        </w:rPr>
        <w:t xml:space="preserve">Lawyer</w:t>
      </w:r>
      <w:r>
        <w:t xml:space="preserve"> </w:t>
      </w:r>
      <w:r>
        <w:t xml:space="preserve">who possesses not only theoretical knowledge but also practical experience in navigating these fluid regulatory environments.</w:t>
      </w:r>
    </w:p>
    <w:bookmarkEnd w:id="22"/>
    <w:bookmarkStart w:id="23" w:name="gap-in-current-market-offerings"/>
    <w:p>
      <w:pPr>
        <w:pStyle w:val="Heading3"/>
      </w:pPr>
      <w:r>
        <w:t xml:space="preserve">3.2 Gap in Current Market Offerings</w:t>
      </w:r>
    </w:p>
    <w:p>
      <w:pPr>
        <w:pStyle w:val="FirstParagraph"/>
      </w:pPr>
      <w:r>
        <w:t xml:space="preserve">An analysis of the current legal market in Yangon reveals a dichotomy between traditional local firms and boutique international practices. There is a noticeable lack of mid-sized firms that combine cost-efficiency with high-level expertise in corporate law, dispute resolution, and intellectual property rights. This project seeks to fill this niche by offering integrated legal solutions tailored to the specific needs of clients operating in</w:t>
      </w:r>
      <w:r>
        <w:t xml:space="preserve"> </w:t>
      </w:r>
      <w:r>
        <w:rPr>
          <w:bCs/>
          <w:b/>
        </w:rPr>
        <w:t xml:space="preserve">Myanmar Yangon</w:t>
      </w:r>
      <w:r>
        <w:t xml:space="preserve">.</w:t>
      </w:r>
    </w:p>
    <w:bookmarkEnd w:id="23"/>
    <w:bookmarkEnd w:id="24"/>
    <w:bookmarkStart w:id="25" w:name="project-objectives"/>
    <w:p>
      <w:pPr>
        <w:pStyle w:val="Heading2"/>
      </w:pPr>
      <w:r>
        <w:t xml:space="preserve">4. Project Objectives</w:t>
      </w:r>
    </w:p>
    <w:p>
      <w:pPr>
        <w:numPr>
          <w:ilvl w:val="0"/>
          <w:numId w:val="1001"/>
        </w:numPr>
        <w:pStyle w:val="Compact"/>
      </w:pPr>
      <w:r>
        <w:rPr>
          <w:bCs/>
          <w:b/>
        </w:rPr>
        <w:t xml:space="preserve">Ethical Compliance:</w:t>
      </w:r>
    </w:p>
    <w:p>
      <w:pPr>
        <w:numPr>
          <w:ilvl w:val="0"/>
          <w:numId w:val="1001"/>
        </w:numPr>
        <w:pStyle w:val="Compact"/>
      </w:pPr>
      <w:r>
        <w:rPr>
          <w:bCs/>
          <w:b/>
        </w:rPr>
        <w:t xml:space="preserve">Specialized Expertise:</w:t>
      </w:r>
    </w:p>
    <w:p>
      <w:pPr>
        <w:numPr>
          <w:ilvl w:val="0"/>
          <w:numId w:val="1001"/>
        </w:numPr>
        <w:pStyle w:val="Compact"/>
      </w:pPr>
      <w:r>
        <w:rPr>
          <w:bCs/>
          <w:b/>
        </w:rPr>
        <w:t xml:space="preserve">Digital Integration:</w:t>
      </w:r>
    </w:p>
    <w:p>
      <w:pPr>
        <w:numPr>
          <w:ilvl w:val="0"/>
          <w:numId w:val="1001"/>
        </w:numPr>
        <w:pStyle w:val="Compact"/>
      </w:pPr>
      <w:r>
        <w:rPr>
          <w:bCs/>
          <w:b/>
        </w:rPr>
        <w:t xml:space="preserve">Crisis Management:</w:t>
      </w:r>
    </w:p>
    <w:bookmarkEnd w:id="25"/>
    <w:bookmarkStart w:id="29" w:name="operational-strategy"/>
    <w:p>
      <w:pPr>
        <w:pStyle w:val="Heading2"/>
      </w:pPr>
      <w:r>
        <w:t xml:space="preserve">5. Operational Strategy</w:t>
      </w:r>
    </w:p>
    <w:p>
      <w:pPr>
        <w:pStyle w:val="FirstParagraph"/>
      </w:pPr>
      <w:r>
        <w:t xml:space="preserve">The operational phase of this project involves several critical steps to ensure the successful launch of the firm in Yangon.</w:t>
      </w:r>
    </w:p>
    <w:bookmarkStart w:id="26" w:name="legal-registration-and-licensing"/>
    <w:p>
      <w:pPr>
        <w:pStyle w:val="Heading3"/>
      </w:pPr>
      <w:r>
        <w:t xml:space="preserve">5.1 Legal Registration and Licensing</w:t>
      </w:r>
    </w:p>
    <w:p>
      <w:pPr>
        <w:pStyle w:val="FirstParagraph"/>
      </w:pPr>
      <w:r>
        <w:t xml:space="preserve">The first step is securing the necessary licenses from the Myanmar Bar Council. This process requires rigorous documentation and verification of qualifications for all proposed</w:t>
      </w:r>
      <w:r>
        <w:t xml:space="preserve"> </w:t>
      </w:r>
      <w:r>
        <w:rPr>
          <w:bCs/>
          <w:b/>
        </w:rPr>
        <w:t xml:space="preserve">Lawyer</w:t>
      </w:r>
      <w:r>
        <w:t xml:space="preserve"> </w:t>
      </w:r>
      <w:r>
        <w:t xml:space="preserve">staff members. The firm will ensure that all practitioners are fully registered and eligible to practice law within the jurisdiction.</w:t>
      </w:r>
    </w:p>
    <w:bookmarkEnd w:id="26"/>
    <w:bookmarkStart w:id="27" w:name="infrastructure-setup-in-yangon"/>
    <w:p>
      <w:pPr>
        <w:pStyle w:val="Heading3"/>
      </w:pPr>
      <w:r>
        <w:t xml:space="preserve">5.2 Infrastructure Setup in Yangon</w:t>
      </w:r>
    </w:p>
    <w:p>
      <w:pPr>
        <w:pStyle w:val="FirstParagraph"/>
      </w:pPr>
      <w:r>
        <w:t xml:space="preserve">The office will be located in the central business district of Yangon, providing accessibility to government agencies, courts, and major corporate headquarters. The infrastructure will include secure meeting rooms for confidential client consultations and modern digital infrastructure for remote work capabilities.</w:t>
      </w:r>
    </w:p>
    <w:bookmarkEnd w:id="27"/>
    <w:bookmarkStart w:id="28" w:name="talent-acquisition"/>
    <w:p>
      <w:pPr>
        <w:pStyle w:val="Heading3"/>
      </w:pPr>
      <w:r>
        <w:t xml:space="preserve">5.3 Talent Acquisition</w:t>
      </w:r>
    </w:p>
    <w:p>
      <w:pPr>
        <w:pStyle w:val="FirstParagraph"/>
      </w:pPr>
      <w:r>
        <w:t xml:space="preserve">We plan to recruit a mix of senior advocates with decades of experience in Myanmar law and junior associates trained in international legal frameworks. This hybrid team structure ensures that clients receive advice that is both locally grounded and globally aware.</w:t>
      </w:r>
    </w:p>
    <w:bookmarkEnd w:id="28"/>
    <w:bookmarkEnd w:id="29"/>
    <w:bookmarkStart w:id="30" w:name="risk-management-and-compliance"/>
    <w:p>
      <w:pPr>
        <w:pStyle w:val="Heading2"/>
      </w:pPr>
      <w:r>
        <w:t xml:space="preserve">6. Risk Management and Compliance</w:t>
      </w:r>
    </w:p>
    <w:p>
      <w:pPr>
        <w:pStyle w:val="FirstParagraph"/>
      </w:pPr>
      <w:r>
        <w:t xml:space="preserve">Operating a legal firm in</w:t>
      </w:r>
      <w:r>
        <w:t xml:space="preserve"> </w:t>
      </w:r>
      <w:r>
        <w:rPr>
          <w:bCs/>
          <w:b/>
        </w:rPr>
        <w:t xml:space="preserve">Myanmar Yangon</w:t>
      </w:r>
      <w:r>
        <w:t xml:space="preserve"> </w:t>
      </w:r>
      <w:r>
        <w:t xml:space="preserve">involves specific risks, including regulatory changes, geopolitical instability, and currency fluctuation impacts on operational costs. To mitigate these risks:</w:t>
      </w:r>
    </w:p>
    <w:p>
      <w:pPr>
        <w:numPr>
          <w:ilvl w:val="0"/>
          <w:numId w:val="1002"/>
        </w:numPr>
        <w:pStyle w:val="Compact"/>
      </w:pPr>
      <w:r>
        <w:rPr>
          <w:bCs/>
          <w:b/>
        </w:rPr>
        <w:t xml:space="preserve">Diversified Client Base:</w:t>
      </w:r>
      <w:r>
        <w:t xml:space="preserve">We will avoid over-reliance on any single sector or client type to ensure financial stability.</w:t>
      </w:r>
    </w:p>
    <w:p>
      <w:pPr>
        <w:numPr>
          <w:ilvl w:val="0"/>
          <w:numId w:val="1002"/>
        </w:numPr>
        <w:pStyle w:val="Compact"/>
      </w:pPr>
      <w:r>
        <w:rPr>
          <w:bCs/>
          <w:b/>
        </w:rPr>
        <w:t xml:space="preserve">Continuous Monitoring:</w:t>
      </w:r>
      <w:r>
        <w:t xml:space="preserve">A dedicated compliance officer will monitor changes in Myanmar law and international sanctions, adjusting advisory services accordingly.</w:t>
      </w:r>
    </w:p>
    <w:p>
      <w:pPr>
        <w:numPr>
          <w:ilvl w:val="0"/>
          <w:numId w:val="1002"/>
        </w:numPr>
        <w:pStyle w:val="Compact"/>
      </w:pPr>
      <w:r>
        <w:rPr>
          <w:bCs/>
          <w:b/>
        </w:rPr>
        <w:t xml:space="preserve">Ethical Safeguards:</w:t>
      </w:r>
      <w:r>
        <w:t xml:space="preserve">The firm will implement strict anti-money laundering (AML) and know-your-customer (KYC) protocols to protect the integrity of legal services provided.</w:t>
      </w:r>
    </w:p>
    <w:bookmarkEnd w:id="30"/>
    <w:bookmarkStart w:id="31" w:name="financial-projections"/>
    <w:p>
      <w:pPr>
        <w:pStyle w:val="Heading2"/>
      </w:pPr>
      <w:r>
        <w:t xml:space="preserve">7. Financial Projections</w:t>
      </w:r>
    </w:p>
    <w:p>
      <w:pPr>
        <w:pStyle w:val="FirstParagraph"/>
      </w:pPr>
      <w:r>
        <w:t xml:space="preserve">The financial model for this project is based on a tiered billing structure, catering to both large multinational corporations and local SMEs. Initial capital expenditure will cover office leasehold improvements, licensing fees, and initial marketing in the Yangon region.</w:t>
      </w:r>
    </w:p>
    <w:p>
      <w:pPr>
        <w:pStyle w:val="BodyText"/>
      </w:pPr>
      <w:r>
        <w:t xml:space="preserve">We project a break-even point within the first 18 months of operation. Revenue streams will primarily consist of hourly billing for litigation services, fixed-fee packages for corporate compliance audits, and retainer agreements for ongoing legal counsel.</w:t>
      </w:r>
    </w:p>
    <w:bookmarkEnd w:id="31"/>
    <w:bookmarkStart w:id="33" w:name="conclusion"/>
    <w:p>
      <w:pPr>
        <w:pStyle w:val="Heading2"/>
      </w:pPr>
      <w:r>
        <w:t xml:space="preserve">8. Conclusion</w:t>
      </w:r>
    </w:p>
    <w:p>
      <w:pPr>
        <w:pStyle w:val="FirstParagraph"/>
      </w:pPr>
      <w:r>
        <w:t xml:space="preserve">The establishment of this comprehensive legal consultancy in Myanmar represents a significant opportunity to meet the escalating demand for high-quality legal representation in Yangon. By combining local expertise with international standards, our firm will serve as a pivotal resource for businesses navigating the complexities of the Myanmar market.</w:t>
      </w:r>
    </w:p>
    <w:p>
      <w:pPr>
        <w:pStyle w:val="BodyText"/>
      </w:pPr>
      <w:r>
        <w:t xml:space="preserve">This Project Report confirms that with strategic planning, rigorous compliance, and a client-centric approach, we can build a sustainable and reputable practice. The role of every</w:t>
      </w:r>
      <w:r>
        <w:t xml:space="preserve"> </w:t>
      </w:r>
      <w:r>
        <w:rPr>
          <w:bCs/>
          <w:b/>
        </w:rPr>
        <w:t xml:space="preserve">Lawyer</w:t>
      </w:r>
      <w:r>
        <w:t xml:space="preserve"> </w:t>
      </w:r>
      <w:r>
        <w:t xml:space="preserve">within this organization will be crucial in upholding justice and facilitating lawful business operations in one of Southeast Asia's most dynamic regions. We are confident that this initiative will not only achieve commercial success but also contribute positively to the rule of law in</w:t>
      </w:r>
      <w:r>
        <w:t xml:space="preserve"> </w:t>
      </w:r>
      <w:r>
        <w:rPr>
          <w:bCs/>
          <w:b/>
        </w:rPr>
        <w:t xml:space="preserve">Myanmar Yangon</w:t>
      </w:r>
      <w:r>
        <w:t xml:space="preserve">.</w:t>
      </w:r>
    </w:p>
    <w:bookmarkStart w:id="32" w:name="next-steps"/>
    <w:p>
      <w:pPr>
        <w:pStyle w:val="Heading3"/>
      </w:pPr>
      <w:r>
        <w:t xml:space="preserve">Next Steps</w:t>
      </w:r>
    </w:p>
    <w:p>
      <w:pPr>
        <w:pStyle w:val="FirstParagraph"/>
      </w:pPr>
      <w:r>
        <w:t xml:space="preserve">The Project Management Office requests approval to proceed with the recruitment phase and office site selection in Yangon within the next 30 days. Immediate action is required to secure top legal talent before the upcoming fiscal planning cycle.</w:t>
      </w:r>
    </w:p>
    <w:bookmarkEnd w:id="32"/>
    <w:p>
      <w:pPr>
        <w:pStyle w:val="BodyText"/>
      </w:pPr>
      <w:r>
        <w:rPr>
          <w:iCs/>
          <w:i/>
        </w:rPr>
        <w:t xml:space="preserve">Disclaimer: This document is for internal planning purposes only. All legal advice provided by this firm will be subject to formal engagement letters.</w:t>
      </w:r>
    </w:p>
    <w:p>
      <w:pPr>
        <w:pStyle w:val="BodyText"/>
      </w:pPr>
      <w:r>
        <w:t xml:space="preserve">© 2023 Project Management Office.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Consultancy and Advocacy Services in Myanmar, Yangon</dc:title>
  <dc:creator/>
  <cp:keywords/>
  <dcterms:created xsi:type="dcterms:W3CDTF">2026-07-29T19:49:49Z</dcterms:created>
  <dcterms:modified xsi:type="dcterms:W3CDTF">2026-07-29T19:49:49Z</dcterms:modified>
</cp:coreProperties>
</file>

<file path=docProps/custom.xml><?xml version="1.0" encoding="utf-8"?>
<Properties xmlns="http://schemas.openxmlformats.org/officeDocument/2006/custom-properties" xmlns:vt="http://schemas.openxmlformats.org/officeDocument/2006/docPropsVTypes"/>
</file>