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35" w:name="Xca56b453e9f9f772fcb2930772413f3d89087a7"/>
    <w:p>
      <w:pPr>
        <w:pStyle w:val="Heading1"/>
      </w:pPr>
      <w:r>
        <w:t xml:space="preserve">Project Report: Strategic Implementation of Legal Services for the Netherlands Amsterdam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t xml:space="preserve"> </w:t>
      </w:r>
      <w:r>
        <w:t xml:space="preserve">Project Management Office</w:t>
      </w:r>
      <w:r>
        <w:br/>
      </w:r>
    </w:p>
    <w:p>
      <w:pPr>
        <w:pStyle w:val="BodyText"/>
      </w:pPr>
      <w:r>
        <w:t xml:space="preserve">Subject:Navigating the Legal Landscape in the Netherlands Amsterdam</w:t>
      </w:r>
    </w:p>
    <w:bookmarkStart w:id="20" w:name="executive-summary"/>
    <w:p>
      <w:pPr>
        <w:pStyle w:val="Heading2"/>
      </w:pPr>
      <w:r>
        <w:t xml:space="preserve">1. Executive Summary</w:t>
      </w:r>
    </w:p>
    <w:p>
      <w:pPr>
        <w:pStyle w:val="FirstParagraph"/>
      </w:pPr>
      <w:r>
        <w:t xml:space="preserve">This comprehensive Project Report outlines the strategic framework for establishing and optimizing legal operations within the dynamic business environment of the Netherlands Amsterdam. As a global hub for finance, technology, and international trade, Amsterdam requires sophisticated legal counsel that understands both local Dutch regulations and international compliance standards. This document details the necessity of engaging a qualified Lawyer to manage these complex requirements, ensuring that our organizational goals align with the rigorous legal frameworks present in this specific jurisdiction.</w:t>
      </w:r>
    </w:p>
    <w:bookmarkEnd w:id="20"/>
    <w:bookmarkStart w:id="21" w:name="introduction-and-context"/>
    <w:p>
      <w:pPr>
        <w:pStyle w:val="Heading2"/>
      </w:pPr>
      <w:r>
        <w:t xml:space="preserve">2. Introduction and Context</w:t>
      </w:r>
    </w:p>
    <w:p>
      <w:pPr>
        <w:pStyle w:val="FirstParagraph"/>
      </w:pPr>
      <w:r>
        <w:t xml:space="preserve">The city of Amsterdam serves as the economic heart of the Netherlands Amsterdam region. Its status as a premier destination for multinational corporations necessitates a robust legal infrastructure. The primary objective of this project is to secure high-caliber legal representation that can navigate the intricate web of Dutch civil law, corporate regulations, and European Union directives. A dedicated Lawyer is not merely an advisory body but a critical strategic partner in mitigating risk and facilitating growth within the Netherlands Amsterdam ecosystem.</w:t>
      </w:r>
    </w:p>
    <w:bookmarkEnd w:id="21"/>
    <w:bookmarkStart w:id="24" w:name="legal-landscape-in-the-netherlands"/>
    <w:p>
      <w:pPr>
        <w:pStyle w:val="Heading2"/>
      </w:pPr>
      <w:r>
        <w:t xml:space="preserve">3. Legal Landscape in the Netherlands</w:t>
      </w:r>
    </w:p>
    <w:p>
      <w:pPr>
        <w:pStyle w:val="FirstParagraph"/>
      </w:pPr>
      <w:r>
        <w:t xml:space="preserve">To effectively operate in this region, one must understand that the legal system of the Netherlands Amsterdam is rooted in civil law traditions, distinct from common law systems found elsewhere. The Lawyer we engage must possess deep expertise in these specific nuances. Key areas of focus include:</w:t>
      </w:r>
    </w:p>
    <w:bookmarkStart w:id="22" w:name="corporate-and-business-law"/>
    <w:p>
      <w:pPr>
        <w:pStyle w:val="Heading3"/>
      </w:pPr>
      <w:r>
        <w:t xml:space="preserve">3.1 Corporate and Business Law</w:t>
      </w:r>
    </w:p>
    <w:p>
      <w:pPr>
        <w:pStyle w:val="FirstParagraph"/>
      </w:pPr>
      <w:r>
        <w:t xml:space="preserve">In the Netherlands Amsterdam, corporate structuring is heavily regulated by the Dutch Civil Code (Burgerlijk Wetboek). A competent Lawyer must assist in establishing entities such as the Besloten Vennootschap (BV), which is the most common vehicle for private limited liability companies. The report highlights that improper structuring can lead to significant tax inefficiencies and administrative burdens.</w:t>
      </w:r>
    </w:p>
    <w:bookmarkEnd w:id="22"/>
    <w:bookmarkStart w:id="23" w:name="employment-law"/>
    <w:p>
      <w:pPr>
        <w:pStyle w:val="Heading3"/>
      </w:pPr>
      <w:r>
        <w:t xml:space="preserve">3.2 Employment Law</w:t>
      </w:r>
    </w:p>
    <w:p>
      <w:pPr>
        <w:pStyle w:val="FirstParagraph"/>
      </w:pPr>
      <w:r>
        <w:t xml:space="preserve">Dutch labor law is known for its strong protection of employees. A Lawyer specializing in this field is essential for drafting employment contracts, managing dismissals, and handling collective bargaining agreements. Missteps in compliance within the Netherlands Amsterdam market can result in costly litigation and reputational damage.</w:t>
      </w:r>
    </w:p>
    <w:bookmarkEnd w:id="23"/>
    <w:bookmarkEnd w:id="24"/>
    <w:bookmarkStart w:id="28" w:name="the-role-of-the-lawyer"/>
    <w:p>
      <w:pPr>
        <w:pStyle w:val="Heading2"/>
      </w:pPr>
      <w:r>
        <w:t xml:space="preserve">4. The Role of the Lawyer</w:t>
      </w:r>
    </w:p>
    <w:p>
      <w:pPr>
        <w:pStyle w:val="FirstParagraph"/>
      </w:pPr>
      <w:r>
        <w:t xml:space="preserve">The central component of this project is the engagement of a specialized Lawyer. This professional will serve as our primary point of contact for all legal matters pertaining to our operations in the Netherlands Amsterdam. The responsibilities assigned to this role are extensive and critical.</w:t>
      </w:r>
    </w:p>
    <w:bookmarkStart w:id="25" w:name="compliance-and-regulatory-oversight"/>
    <w:p>
      <w:pPr>
        <w:pStyle w:val="Heading3"/>
      </w:pPr>
      <w:r>
        <w:t xml:space="preserve">4.1 Compliance and Regulatory Oversight</w:t>
      </w:r>
    </w:p>
    <w:p>
      <w:pPr>
        <w:pStyle w:val="FirstParagraph"/>
      </w:pPr>
      <w:r>
        <w:t xml:space="preserve">The Lawyer will ensure that all business activities adhere to local ordinances and national laws. This includes monitoring changes in legislation that specifically impact the Netherlands Amsterdam business district. Proactive compliance ensures that our operations remain uninterrupted by regulatory sanctions or audits.</w:t>
      </w:r>
    </w:p>
    <w:bookmarkEnd w:id="25"/>
    <w:bookmarkStart w:id="26" w:name="contract-negotiation-and-drafting"/>
    <w:p>
      <w:pPr>
        <w:pStyle w:val="Heading3"/>
      </w:pPr>
      <w:r>
        <w:t xml:space="preserve">4.2 Contract Negotiation and Drafting</w:t>
      </w:r>
    </w:p>
    <w:p>
      <w:pPr>
        <w:pStyle w:val="FirstParagraph"/>
      </w:pPr>
      <w:r>
        <w:t xml:space="preserve">In a city as competitive as Amsterdam, contracts are the backbone of commercial relationships. The Lawyer will draft and negotiate agreements with vendors, clients, and partners. These documents must be culturally and legally appropriate for the Netherlands context to prevent future disputes.</w:t>
      </w:r>
    </w:p>
    <w:bookmarkEnd w:id="26"/>
    <w:bookmarkStart w:id="27" w:name="dispute-resolution"/>
    <w:p>
      <w:pPr>
        <w:pStyle w:val="Heading3"/>
      </w:pPr>
      <w:r>
        <w:t xml:space="preserve">4.3 Dispute Resolution</w:t>
      </w:r>
    </w:p>
    <w:p>
      <w:pPr>
        <w:pStyle w:val="FirstParagraph"/>
      </w:pPr>
      <w:r>
        <w:t xml:space="preserve">In the event of legal conflicts, a skilled Lawyer is vital for representing our interests in Dutch courts or through alternative dispute resolution mechanisms such as mediation and arbitration. Given the international nature of many disputes involving Amsterdam-based entities, bilingual capabilities (Dutch and English) are highly desirable.</w:t>
      </w:r>
    </w:p>
    <w:bookmarkEnd w:id="27"/>
    <w:bookmarkEnd w:id="28"/>
    <w:bookmarkStart w:id="29" w:name="X7f75a5b25925afff1f1e2af0c612ccbbe7f30aa"/>
    <w:p>
      <w:pPr>
        <w:pStyle w:val="Heading2"/>
      </w:pPr>
      <w:r>
        <w:t xml:space="preserve">5. Strategic Importance of Location: Netherlands Amsterdam</w:t>
      </w:r>
    </w:p>
    <w:p>
      <w:pPr>
        <w:pStyle w:val="FirstParagraph"/>
      </w:pPr>
      <w:r>
        <w:t xml:space="preserve">The choice to focus on the Netherlands Amsterdam is driven by its strategic geographic location and business-friendly environment. However, this convenience comes with high regulatory standards. The Lawyer must leverage their knowledge of this specific locale to maximize tax incentives available in Amsterdam while minimizing exposure to legal risks unique to the region.</w:t>
      </w:r>
    </w:p>
    <w:p>
      <w:pPr>
        <w:pStyle w:val="BodyText"/>
      </w:pPr>
      <w:r>
        <w:t xml:space="preserve">Furthermore, the Netherlands Amsterdam legal community is well-integrated into EU frameworks. Our Lawyer must maintain connections with local bar associations and international partners to facilitate cross-border transactions, which are common for businesses operating out of this hub.</w:t>
      </w:r>
    </w:p>
    <w:bookmarkEnd w:id="29"/>
    <w:bookmarkStart w:id="30" w:name="implementation-plan"/>
    <w:p>
      <w:pPr>
        <w:pStyle w:val="Heading2"/>
      </w:pPr>
      <w:r>
        <w:t xml:space="preserve">6. Implementation Plan</w:t>
      </w:r>
    </w:p>
    <w:p>
      <w:pPr>
        <w:pStyle w:val="FirstParagraph"/>
      </w:pPr>
      <w:r>
        <w:t xml:space="preserve">The following steps have been identified to secure the necessary legal support:</w:t>
      </w:r>
    </w:p>
    <w:p>
      <w:pPr>
        <w:numPr>
          <w:ilvl w:val="0"/>
          <w:numId w:val="1001"/>
        </w:numPr>
        <w:pStyle w:val="Compact"/>
      </w:pPr>
      <w:r>
        <w:rPr>
          <w:bCs/>
          <w:b/>
        </w:rPr>
        <w:t xml:space="preserve">RFP Issuance:</w:t>
      </w:r>
    </w:p>
    <w:p>
      <w:pPr>
        <w:numPr>
          <w:ilvl w:val="0"/>
          <w:numId w:val="1001"/>
        </w:numPr>
        <w:pStyle w:val="Compact"/>
      </w:pPr>
      <w:r>
        <w:rPr>
          <w:bCs/>
          <w:b/>
        </w:rPr>
        <w:t xml:space="preserve">Evaluation Criteria:</w:t>
      </w:r>
      <w:r>
        <w:t xml:space="preserve">We will evaluate candidates based on their experience with international clients, their understanding of local Amsterdam market dynamics, and their fee structures.</w:t>
      </w:r>
    </w:p>
    <w:p>
      <w:pPr>
        <w:numPr>
          <w:ilvl w:val="0"/>
          <w:numId w:val="1001"/>
        </w:numPr>
        <w:pStyle w:val="Compact"/>
      </w:pPr>
      <w:r>
        <w:rPr>
          <w:bCs/>
          <w:b/>
        </w:rPr>
        <w:t xml:space="preserve">Selection of Lawyer:</w:t>
      </w:r>
      <w:r>
        <w:t xml:space="preserve">A shortlist of three firms will be interviewed. The final selection will prioritize the firm that offers the best blend of local expertise in Netherlands Amsterdam regulations and global reach.</w:t>
      </w:r>
    </w:p>
    <w:p>
      <w:pPr>
        <w:numPr>
          <w:ilvl w:val="0"/>
          <w:numId w:val="1001"/>
        </w:numPr>
        <w:pStyle w:val="Compact"/>
      </w:pPr>
      <w:r>
        <w:rPr>
          <w:bCs/>
          <w:b/>
        </w:rPr>
        <w:t xml:space="preserve">Kick-off Meeting:</w:t>
      </w:r>
      <w:r>
        <w:t xml:space="preserve">Upon signing, a comprehensive handover meeting will occur to introduce our internal team to the assigned Lawyer or legal team.</w:t>
      </w:r>
    </w:p>
    <w:bookmarkEnd w:id="30"/>
    <w:bookmarkStart w:id="31" w:name="budget-and-resource-allocation"/>
    <w:p>
      <w:pPr>
        <w:pStyle w:val="Heading2"/>
      </w:pPr>
      <w:r>
        <w:t xml:space="preserve">7. Budget and Resource Allocation</w:t>
      </w:r>
    </w:p>
    <w:p>
      <w:pPr>
        <w:pStyle w:val="FirstParagraph"/>
      </w:pPr>
      <w:r>
        <w:t xml:space="preserve">The budget for this project includes hourly retainer fees for the Lawyer, as well as specific allocations for transactional work, litigation support if necessary, and ongoing compliance audits. While legal services represent a significant investment in the Netherlands Amsterdam market, the cost is justified by the risk mitigation and operational efficiency gained through professional guidance. We anticipate that early engagement of a skilled Lawyer will prevent costly errors associated with misinterpretation of local laws.</w:t>
      </w:r>
    </w:p>
    <w:bookmarkEnd w:id="31"/>
    <w:bookmarkStart w:id="32" w:name="risk-management"/>
    <w:p>
      <w:pPr>
        <w:pStyle w:val="Heading2"/>
      </w:pPr>
      <w:r>
        <w:t xml:space="preserve">8. Risk Management</w:t>
      </w:r>
    </w:p>
    <w:p>
      <w:pPr>
        <w:pStyle w:val="FirstParagraph"/>
      </w:pPr>
      <w:r>
        <w:t xml:space="preserve">Relying on a Lawyer introduces certain dependencies. To mitigate this, we will ensure that internal knowledge management systems are used to document all legal advice received. This ensures continuity even if there is a change in legal representation. Additionally, clear communication channels must be established between our management team and the Lawyer to ensure rapid response times during critical periods.</w:t>
      </w:r>
    </w:p>
    <w:bookmarkEnd w:id="32"/>
    <w:bookmarkStart w:id="33" w:name="conclusion"/>
    <w:p>
      <w:pPr>
        <w:pStyle w:val="Heading2"/>
      </w:pPr>
      <w:r>
        <w:t xml:space="preserve">9. Conclusion</w:t>
      </w:r>
    </w:p>
    <w:p>
      <w:pPr>
        <w:pStyle w:val="FirstParagraph"/>
      </w:pPr>
      <w:r>
        <w:t xml:space="preserve">In conclusion, the successful establishment of our presence in the Netherlands Amsterdam relies heavily on robust legal support. This Project Report has highlighted that engaging a qualified Lawyer is not optional but essential for navigating the complexities of Dutch law and maintaining operational integrity. By prioritizing local expertise in Netherlands Amsterdam regulations and empowering our Lawyer to act as a strategic partner, we position ourselves for sustainable growth and compliance in this vibrant European market.</w:t>
      </w:r>
    </w:p>
    <w:bookmarkEnd w:id="33"/>
    <w:bookmarkStart w:id="34" w:name="recommendations"/>
    <w:p>
      <w:pPr>
        <w:pStyle w:val="Heading2"/>
      </w:pPr>
      <w:r>
        <w:t xml:space="preserve">10. Recommendations</w:t>
      </w:r>
    </w:p>
    <w:p>
      <w:pPr>
        <w:pStyle w:val="FirstParagraph"/>
      </w:pPr>
      <w:r>
        <w:t xml:space="preserve">It is recommended that the Executive Board approve the budget for legal services immediately. Delaying the engagement of a Lawyer could result in missed opportunities or inadvertent non-compliance with regulations in the Netherlands Amsterdam jurisdiction. We urge swift action to initiate the procurement process for selecting our legal counsel.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Netherlands Amsterdam</dc:title>
  <dc:creator/>
  <dc:language>en</dc:language>
  <cp:keywords/>
  <dcterms:created xsi:type="dcterms:W3CDTF">2026-07-29T18:58:53Z</dcterms:created>
  <dcterms:modified xsi:type="dcterms:W3CDTF">2026-07-29T18:58:53Z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