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Framework</w:t>
      </w:r>
      <w:r>
        <w:t xml:space="preserve"> </w:t>
      </w:r>
      <w:r>
        <w:t xml:space="preserve">for</w:t>
      </w:r>
      <w:r>
        <w:t xml:space="preserve"> </w:t>
      </w:r>
      <w:r>
        <w:t xml:space="preserve">Philippines</w:t>
      </w:r>
      <w:r>
        <w:t xml:space="preserve"> </w:t>
      </w:r>
      <w:r>
        <w:t xml:space="preserve">Manila</w:t>
      </w:r>
    </w:p>
    <w:bookmarkStart w:id="27" w:name="X956a427a1377493f70713d4cb3d465b20cc2f15"/>
    <w:p>
      <w:pPr>
        <w:pStyle w:val="Heading1"/>
      </w:pPr>
      <w:r>
        <w:t xml:space="preserve">Project Report: Establishment of a Comprehensive Legal Support Framework for the Philippines Manila Region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Regulatory Bodies</w:t>
      </w:r>
      <w:r>
        <w:br/>
      </w:r>
      <w:r>
        <w:rPr>
          <w:bCs/>
          <w:b/>
        </w:rPr>
        <w:t xml:space="preserve">From:</w:t>
      </w:r>
      <w:r>
        <w:t xml:space="preserve"> </w:t>
      </w:r>
      <w:r>
        <w:t xml:space="preserve">Project Management Office</w:t>
      </w:r>
      <w:r>
        <w:br/>
      </w:r>
      <w:r>
        <w:t xml:space="preserve">: Implementation of Structured Lawyer Engagement Protocols in Philippines Manila</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strategic initiative to standardize and enhance legal service delivery within the bustling metropolis of the Philippines, specifically focusing on Manila. As a central hub for commerce, governance, and culture in Southeast Asia, Manila presents a unique ecosystem where access to competent legal counsel is paramount. The primary objective of this project is to create a robust framework for engaging Lawyer professionals who are not only legally proficient but also culturally and contextually aligned with the specific judicial dynamics of the Philippines Manila jurisdiction.</w:t>
      </w:r>
    </w:p>
    <w:p>
      <w:pPr>
        <w:pStyle w:val="BodyText"/>
      </w:pPr>
      <w:r>
        <w:t xml:space="preserve">The report details the necessity of specialized legal representation in handling complex litigation, corporate compliance, and real estate transactions prevalent in this urban center. By focusing on local expertise within Philippines Manila, we aim to mitigate risks associated with generalist approaches and ensure that all legal interventions are tailored to the specific procedural nuances of Philippine law.</w:t>
      </w:r>
    </w:p>
    <w:bookmarkEnd w:id="20"/>
    <w:bookmarkStart w:id="21" w:name="project-background-and-context"/>
    <w:p>
      <w:pPr>
        <w:pStyle w:val="Heading2"/>
      </w:pPr>
      <w:r>
        <w:t xml:space="preserve">2. Project Background and Context</w:t>
      </w:r>
    </w:p>
    <w:p>
      <w:pPr>
        <w:pStyle w:val="FirstParagraph"/>
      </w:pPr>
      <w:r>
        <w:t xml:space="preserve">The legal landscape in the Philippines is characterized by a civil law system heavily influenced by Spanish heritage, mixed with American common law traditions following World War II. However, the practical application of these laws varies significantly from one locale to another. Manila, being the seat of government and home to key judicial institutions such as the Supreme Court and various Regional Trial Courts, operates under a distinct set of procedural pressures and precedents.</w:t>
      </w:r>
    </w:p>
    <w:p>
      <w:pPr>
        <w:pStyle w:val="BodyText"/>
      </w:pPr>
      <w:r>
        <w:t xml:space="preserve">In this context, a "one-size-fits-all" approach to legal services is inefficient. The rapid urbanization and economic growth in Philippines Manila have led to an increase in sophisticated commercial disputes, intellectual property challenges, and labor issues. Consequently, the demand for Lawyer services has skyrocketed. However, there remains a gap between high-end corporate legal support and accessible justice for individuals and small businesses. This project seeks to bridge that gap by establishing protocols that ensure quality representation is available across various sectors within the capital.</w:t>
      </w:r>
    </w:p>
    <w:bookmarkEnd w:id="21"/>
    <w:bookmarkStart w:id="22" w:name="objectives-of-the-project"/>
    <w:p>
      <w:pPr>
        <w:pStyle w:val="Heading2"/>
      </w:pPr>
      <w:r>
        <w:t xml:space="preserve">3. Objectives of the Project</w:t>
      </w:r>
    </w:p>
    <w:p>
      <w:pPr>
        <w:pStyle w:val="FirstParagraph"/>
      </w:pPr>
      <w:r>
        <w:t xml:space="preserve">The core objectives of this initiative are multifaceted, designed to address both systemic and individual needs:</w:t>
      </w:r>
    </w:p>
    <w:p>
      <w:pPr>
        <w:numPr>
          <w:ilvl w:val="0"/>
          <w:numId w:val="1001"/>
        </w:numPr>
        <w:pStyle w:val="Compact"/>
      </w:pPr>
      <w:r>
        <w:rPr>
          <w:bCs/>
          <w:b/>
        </w:rPr>
        <w:t xml:space="preserve">Jurisdictional Precision:</w:t>
      </w:r>
    </w:p>
    <w:p>
      <w:pPr>
        <w:numPr>
          <w:ilvl w:val="0"/>
          <w:numId w:val="1001"/>
        </w:numPr>
        <w:pStyle w:val="Compact"/>
      </w:pPr>
      <w:r>
        <w:rPr>
          <w:bCs/>
          <w:b/>
        </w:rPr>
        <w:t xml:space="preserve">Efficiency in Litigation:</w:t>
      </w:r>
    </w:p>
    <w:p>
      <w:pPr>
        <w:numPr>
          <w:ilvl w:val="0"/>
          <w:numId w:val="1001"/>
        </w:numPr>
        <w:pStyle w:val="Compact"/>
      </w:pPr>
      <w:r>
        <w:rPr>
          <w:bCs/>
          <w:b/>
        </w:rPr>
        <w:t xml:space="preserve">Risk Mitigation for Corporate Entities:</w:t>
      </w:r>
    </w:p>
    <w:p>
      <w:pPr>
        <w:numPr>
          <w:ilvl w:val="0"/>
          <w:numId w:val="1001"/>
        </w:numPr>
        <w:pStyle w:val="Compact"/>
      </w:pPr>
      <w:r>
        <w:rPr>
          <w:bCs/>
          <w:b/>
        </w:rPr>
        <w:t xml:space="preserve">Accessibility and Transparency:</w:t>
      </w:r>
    </w:p>
    <w:bookmarkEnd w:id="22"/>
    <w:bookmarkStart w:id="23" w:name="methodology-sourcing-and-vetting-lawyers"/>
    <w:p>
      <w:pPr>
        <w:pStyle w:val="Heading2"/>
      </w:pPr>
      <w:r>
        <w:t xml:space="preserve">4. Methodology: Sourcing and Vetting Lawyers</w:t>
      </w:r>
    </w:p>
    <w:p>
      <w:pPr>
        <w:pStyle w:val="FirstParagraph"/>
      </w:pPr>
      <w:r>
        <w:t xml:space="preserve">The success of this project hinges on the rigorous selection of qualified professionals. The methodology for identifying and vetting Lawyer candidates involves a multi-step process:</w:t>
      </w:r>
    </w:p>
    <w:p>
      <w:pPr>
        <w:numPr>
          <w:ilvl w:val="0"/>
          <w:numId w:val="1002"/>
        </w:numPr>
        <w:pStyle w:val="Compact"/>
      </w:pPr>
      <w:r>
        <w:rPr>
          <w:bCs/>
          <w:b/>
        </w:rPr>
        <w:t xml:space="preserve">Licensure Verification:</w:t>
      </w:r>
    </w:p>
    <w:p>
      <w:pPr>
        <w:numPr>
          <w:ilvl w:val="0"/>
          <w:numId w:val="1002"/>
        </w:numPr>
        <w:pStyle w:val="Compact"/>
      </w:pPr>
      <w:r>
        <w:rPr>
          <w:bCs/>
          <w:b/>
        </w:rPr>
        <w:t xml:space="preserve">Local Practice History:</w:t>
      </w:r>
    </w:p>
    <w:p>
      <w:pPr>
        <w:numPr>
          <w:ilvl w:val="0"/>
          <w:numId w:val="1002"/>
        </w:numPr>
        <w:pStyle w:val="Compact"/>
      </w:pPr>
      <w:r>
        <w:rPr>
          <w:bCs/>
          <w:b/>
        </w:rPr>
        <w:t xml:space="preserve">Specialization Assessment:</w:t>
      </w:r>
    </w:p>
    <w:p>
      <w:pPr>
        <w:numPr>
          <w:ilvl w:val="0"/>
          <w:numId w:val="1002"/>
        </w:numPr>
        <w:pStyle w:val="Compact"/>
      </w:pPr>
      <w:r>
        <w:rPr>
          <w:bCs/>
          <w:b/>
        </w:rPr>
        <w:t xml:space="preserve">Cultural Competency:</w:t>
      </w:r>
    </w:p>
    <w:bookmarkEnd w:id="23"/>
    <w:bookmarkStart w:id="24" w:name="implementation-strategy"/>
    <w:p>
      <w:pPr>
        <w:pStyle w:val="Heading2"/>
      </w:pPr>
      <w:r>
        <w:t xml:space="preserve">5. Implementation Strategy</w:t>
      </w:r>
    </w:p>
    <w:p>
      <w:pPr>
        <w:pStyle w:val="FirstParagraph"/>
      </w:pPr>
      <w:r>
        <w:t xml:space="preserve">The implementation phase involves the integration of these vetted Lawyer professionals into our service delivery network. This includes the development of a digital platform where clients can search for Lawyer profiles based on their specific needs within Philippines Manila.</w:t>
      </w:r>
    </w:p>
    <w:p>
      <w:pPr>
        <w:pStyle w:val="BodyText"/>
      </w:pPr>
      <w:r>
        <w:t xml:space="preserve">Furthermore, regular training seminars will be conducted to update our network of Lawyers on recent jurisprudence issued by courts in Manila. Since legal precedents evolve rapidly, staying current with Supreme Court decisions is vital. The project also establishes a code of ethics strictly aligned with the Code of Professional Responsibility and Accountability (CPRA), ensuring that every Lawyer represents the highest standards of integrity.</w:t>
      </w:r>
    </w:p>
    <w:bookmarkEnd w:id="24"/>
    <w:bookmarkStart w:id="25" w:name="challenges-and-risk-management"/>
    <w:p>
      <w:pPr>
        <w:pStyle w:val="Heading2"/>
      </w:pPr>
      <w:r>
        <w:t xml:space="preserve">6. Challenges and Risk Management</w:t>
      </w:r>
    </w:p>
    <w:p>
      <w:pPr>
        <w:pStyle w:val="FirstParagraph"/>
      </w:pPr>
      <w:r>
        <w:t xml:space="preserve">Navigating the legal sector in Philippines Manila presents inherent challenges. One significant risk is congestion in court dockets, which can delay cases indefinitely. To mitigate this, our Lawyer network will prioritize alternative dispute resolution (ADR) mechanisms such as mediation and arbitration whenever possible, leveraging local ADR centers in Manila.</w:t>
      </w:r>
    </w:p>
    <w:p>
      <w:pPr>
        <w:pStyle w:val="BodyText"/>
      </w:pPr>
      <w:r>
        <w:t xml:space="preserve">Another challenge is the varying levels of judicial competence among different branches. By maintaining a database of performance metrics for our partnered Lawyer professionals—including success rates and settlement ratios—we can better guide clients toward representatives who are most effective in specific courts within Philippines Manila.</w:t>
      </w:r>
    </w:p>
    <w:bookmarkEnd w:id="25"/>
    <w:bookmarkStart w:id="26" w:name="conclusion"/>
    <w:p>
      <w:pPr>
        <w:pStyle w:val="Heading2"/>
      </w:pPr>
      <w:r>
        <w:t xml:space="preserve">7. Conclusion</w:t>
      </w:r>
    </w:p>
    <w:p>
      <w:pPr>
        <w:pStyle w:val="FirstParagraph"/>
      </w:pPr>
      <w:r>
        <w:t xml:space="preserve">This Project Report underscores the critical need for a specialized, localized approach to legal services in the Philippines. By focusing intensely on the dynamics of Manila, we recognize that effective legal representation requires more than just statutory knowledge; it requires an intimate understanding of local practice habits and judicial behavior. The establishment of a structured framework for Lawyer engagement ensures that clients in Philippines Manila receive efficient, ethical, and highly competent legal support.</w:t>
      </w:r>
    </w:p>
    <w:p>
      <w:pPr>
        <w:pStyle w:val="BodyText"/>
      </w:pPr>
      <w:r>
        <w:t xml:space="preserve">As we move forward with the execution phase, continuous monitoring and feedback loops will be essential to refine our selection criteria. Ultimately, the goal is to elevate the standard of legal practice in the region, ensuring that justice is not only a concept but an accessible reality for all residents and businesses operating in Manila.</w:t>
      </w:r>
    </w:p>
    <w:p>
      <w:r>
        <w:pict>
          <v:rect style="width:0;height:1.5pt" o:hralign="center" o:hrstd="t" o:hr="t"/>
        </w:pict>
      </w:r>
    </w:p>
    <w:p>
      <w:pPr>
        <w:pStyle w:val="FirstParagraph"/>
      </w:pPr>
      <w:r>
        <w:rPr>
          <w:iCs/>
          <w:i/>
        </w:rPr>
        <w:t xml:space="preserve">This document serves as a foundational record for stakeholders involved in legal service optimization within the Philippines Manila jurisdiction.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Framework for Philippines Manila</dc:title>
  <dc:creator/>
  <dc:language>en</dc:language>
  <cp:keywords/>
  <dcterms:created xsi:type="dcterms:W3CDTF">2026-07-29T08:19:44Z</dcterms:created>
  <dcterms:modified xsi:type="dcterms:W3CDTF">2026-07-29T08:19:44Z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