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43534de99337296f3f4f410bacafea2cff31f3"/>
    <w:p>
      <w:pPr>
        <w:pStyle w:val="Heading1"/>
      </w:pPr>
      <w:r>
        <w:t xml:space="preserve">Project Report: Legal Framework and Strategic Advisory for Commercial Operations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Senior Legal Affairs Department</w:t>
      </w:r>
      <w:r>
        <w:br/>
      </w:r>
      <w:r>
        <w:rPr>
          <w:bCs/>
          <w:b/>
        </w:rPr>
        <w:t xml:space="preserve">Status:</w:t>
      </w:r>
      <w:r>
        <w:t xml:space="preserve"> </w:t>
      </w:r>
      <w:r>
        <w:t xml:space="preserve">Final Review</w:t>
      </w:r>
    </w:p>
    <w:bookmarkStart w:id="20" w:name="executive-summary"/>
    <w:p>
      <w:pPr>
        <w:pStyle w:val="Heading2"/>
      </w:pPr>
      <w:r>
        <w:t xml:space="preserve">1. Executive Summary</w:t>
      </w:r>
    </w:p>
    <w:p>
      <w:pPr>
        <w:pStyle w:val="FirstParagraph"/>
      </w:pPr>
      <w:r>
        <w:t xml:space="preserve">This Project Report provides a comprehensive analysis of the legal landscape, operational requirements, and strategic advisory mechanisms necessary for conducting business within the</w:t>
      </w:r>
      <w:r>
        <w:t xml:space="preserve"> </w:t>
      </w:r>
      <w:r>
        <w:rPr>
          <w:bCs/>
          <w:b/>
        </w:rPr>
        <w:t xml:space="preserve">United Arab Emirates Dubai</w:t>
      </w:r>
      <w:r>
        <w:t xml:space="preserve">. As global markets become increasingly interconnected, understanding the distinct juridical ecosystem of this emirate is paramount for sustainable growth. The primary objective of this document is to outline how engaging a specialized</w:t>
      </w:r>
      <w:r>
        <w:t xml:space="preserve"> </w:t>
      </w:r>
      <w:r>
        <w:rPr>
          <w:bCs/>
          <w:b/>
        </w:rPr>
        <w:t xml:space="preserve">Lawyer</w:t>
      </w:r>
      <w:r>
        <w:t xml:space="preserve"> </w:t>
      </w:r>
      <w:r>
        <w:t xml:space="preserve">or legal counsel can mitigate risks, ensure regulatory compliance, and facilitate seamless market entry. This report emphasizes that navigating the</w:t>
      </w:r>
      <w:r>
        <w:t xml:space="preserve"> </w:t>
      </w:r>
      <w:r>
        <w:rPr>
          <w:bCs/>
          <w:b/>
        </w:rPr>
        <w:t xml:space="preserve">United Arab Emirates Dubai</w:t>
      </w:r>
      <w:r>
        <w:t xml:space="preserve"> </w:t>
      </w:r>
      <w:r>
        <w:t xml:space="preserve">requires more than general knowledge; it demands a nuanced understanding of local civil law traditions blended with common law practices in specific free zones.</w:t>
      </w:r>
    </w:p>
    <w:bookmarkEnd w:id="20"/>
    <w:bookmarkStart w:id="21" w:name="background"/>
    <w:p>
      <w:pPr>
        <w:pStyle w:val="Heading2"/>
      </w:pPr>
      <w:r>
        <w:t xml:space="preserve">2. Background and Context</w:t>
      </w:r>
    </w:p>
    <w:p>
      <w:pPr>
        <w:pStyle w:val="FirstParagraph"/>
      </w:pPr>
      <w:r>
        <w:rPr>
          <w:bCs/>
          <w:b/>
        </w:rPr>
        <w:t xml:space="preserve">Dubai</w:t>
      </w:r>
      <w:r>
        <w:t xml:space="preserve">, as the most populous city in the</w:t>
      </w:r>
      <w:r>
        <w:t xml:space="preserve"> </w:t>
      </w:r>
      <w:r>
        <w:rPr>
          <w:bCs/>
          <w:b/>
        </w:rPr>
        <w:t xml:space="preserve">United Arab Emirates Dubai</w:t>
      </w:r>
      <w:r>
        <w:t xml:space="preserve">, serves as a global hub for trade, tourism, and finance. However, its legal environment is complex. While mainland</w:t>
      </w:r>
      <w:r>
        <w:t xml:space="preserve"> </w:t>
      </w:r>
      <w:r>
        <w:rPr>
          <w:bCs/>
          <w:b/>
        </w:rPr>
        <w:t xml:space="preserve">Dubai</w:t>
      </w:r>
      <w:r>
        <w:t xml:space="preserve"> </w:t>
      </w:r>
      <w:r>
        <w:t xml:space="preserve">operates under the Civil Code of the UAE, which is derived from Egyptian and French civil law systems with influences from Islamic Sharia law, specific areas such as the Dubai International Financial Centre (DIFC) operate under a common law framework. This dualistic system creates a unique challenge for foreign entities and local startups alike.</w:t>
      </w:r>
    </w:p>
    <w:p>
      <w:pPr>
        <w:pStyle w:val="BodyText"/>
      </w:pPr>
      <w:r>
        <w:t xml:space="preserve">In this context, the role of a</w:t>
      </w:r>
      <w:r>
        <w:t xml:space="preserve"> </w:t>
      </w:r>
      <w:r>
        <w:rPr>
          <w:bCs/>
          <w:b/>
        </w:rPr>
        <w:t xml:space="preserve">Lawyer</w:t>
      </w:r>
      <w:r>
        <w:t xml:space="preserve"> </w:t>
      </w:r>
      <w:r>
        <w:t xml:space="preserve">is not merely reactive but strategic. A qualified</w:t>
      </w:r>
      <w:r>
        <w:t xml:space="preserve"> </w:t>
      </w:r>
      <w:r>
        <w:rPr>
          <w:bCs/>
          <w:b/>
        </w:rPr>
        <w:t xml:space="preserve">Lawyer</w:t>
      </w:r>
      <w:r>
        <w:t xml:space="preserve"> </w:t>
      </w:r>
      <w:r>
        <w:t xml:space="preserve">serves as the bridge between international business objectives and local regulatory realities. Without expert legal guidance, companies risk facing severe penalties, contract invalidation, or operational shutdowns due to non-compliance with Federal Decrees and Emiri Decrees specific to the</w:t>
      </w:r>
      <w:r>
        <w:t xml:space="preserve"> </w:t>
      </w:r>
      <w:r>
        <w:rPr>
          <w:bCs/>
          <w:b/>
        </w:rPr>
        <w:t xml:space="preserve">United Arab Emirates Dubai</w:t>
      </w:r>
      <w:r>
        <w:t xml:space="preserve">.</w:t>
      </w:r>
    </w:p>
    <w:bookmarkEnd w:id="21"/>
    <w:bookmarkStart w:id="25" w:name="scope"/>
    <w:p>
      <w:pPr>
        <w:pStyle w:val="Heading2"/>
      </w:pPr>
      <w:r>
        <w:t xml:space="preserve">3. Scope of Legal Services Required</w:t>
      </w:r>
    </w:p>
    <w:p>
      <w:pPr>
        <w:pStyle w:val="FirstParagraph"/>
      </w:pPr>
      <w:r>
        <w:t xml:space="preserve">To ensure full compliance and strategic advantage, the scope of legal intervention must cover several key pillars:</w:t>
      </w:r>
    </w:p>
    <w:bookmarkStart w:id="22" w:name="corporate-formation-and-licensing"/>
    <w:p>
      <w:pPr>
        <w:pStyle w:val="Heading3"/>
      </w:pPr>
      <w:r>
        <w:t xml:space="preserve">3.1 Corporate Formation and Licensing</w:t>
      </w:r>
    </w:p>
    <w:p>
      <w:pPr>
        <w:pStyle w:val="FirstParagraph"/>
      </w:pPr>
      <w:r>
        <w:br/>
      </w:r>
    </w:p>
    <w:p>
      <w:pPr>
        <w:pStyle w:val="BodyText"/>
      </w:pPr>
      <w:r>
        <w:t xml:space="preserve">The process of establishing a business entity in the</w:t>
      </w:r>
      <w:r>
        <w:t xml:space="preserve"> </w:t>
      </w:r>
      <w:r>
        <w:rPr>
          <w:bCs/>
          <w:b/>
        </w:rPr>
        <w:t xml:space="preserve">United Arab Emirates Dubai</w:t>
      </w:r>
      <w:r>
        <w:t xml:space="preserve"> </w:t>
      </w:r>
      <w:r>
        <w:t xml:space="preserve">varies significantly depending on whether the entity is set up onshore or within a Free Zone. A</w:t>
      </w:r>
      <w:r>
        <w:t xml:space="preserve"> </w:t>
      </w:r>
      <w:r>
        <w:rPr>
          <w:bCs/>
          <w:b/>
        </w:rPr>
        <w:t xml:space="preserve">Lawyer</w:t>
      </w:r>
      <w:r>
        <w:t xml:space="preserve"> </w:t>
      </w:r>
      <w:r>
        <w:t xml:space="preserve">must advise on:</w:t>
      </w:r>
    </w:p>
    <w:p>
      <w:pPr>
        <w:numPr>
          <w:ilvl w:val="0"/>
          <w:numId w:val="1001"/>
        </w:numPr>
        <w:pStyle w:val="Compact"/>
      </w:pPr>
      <w:r>
        <w:rPr>
          <w:bCs/>
          <w:b/>
        </w:rPr>
        <w:t xml:space="preserve">Mainland Setup:</w:t>
      </w:r>
      <w:r>
        <w:t xml:space="preserve"> </w:t>
      </w:r>
      <w:r>
        <w:t xml:space="preserve">Determining the appropriate legal structure (LLC, Branch, etc.) and ensuring compliance with Department of Economic Development (DED) regulations.</w:t>
      </w:r>
    </w:p>
    <w:p>
      <w:pPr>
        <w:numPr>
          <w:ilvl w:val="0"/>
          <w:numId w:val="1001"/>
        </w:numPr>
        <w:pStyle w:val="Compact"/>
      </w:pPr>
      <w:r>
        <w:t xml:space="preserve">Free Zone Selection:Analyzing the benefits of zones like DIFC, DMCC, or JAFZA. For instance,</w:t>
      </w:r>
      <w:r>
        <w:rPr>
          <w:iCs/>
          <w:i/>
        </w:rPr>
        <w:t xml:space="preserve">DIFC</w:t>
      </w:r>
      <w:r>
        <w:t xml:space="preserve"> </w:t>
      </w:r>
      <w:r>
        <w:t xml:space="preserve">offers a distinct court system, requiring a</w:t>
      </w:r>
      <w:r>
        <w:t xml:space="preserve"> </w:t>
      </w:r>
      <w:r>
        <w:rPr>
          <w:bCs/>
          <w:b/>
        </w:rPr>
        <w:t xml:space="preserve">Lawyer</w:t>
      </w:r>
      <w:r>
        <w:t xml:space="preserve">familiar with common law principles.</w:t>
      </w:r>
    </w:p>
    <w:p>
      <w:pPr>
        <w:numPr>
          <w:ilvl w:val="0"/>
          <w:numId w:val="1001"/>
        </w:numPr>
        <w:pStyle w:val="Compact"/>
      </w:pPr>
      <w:r>
        <w:rPr>
          <w:bCs/>
          <w:b/>
        </w:rPr>
        <w:t xml:space="preserve">Licensing Requirements:</w:t>
      </w:r>
      <w:r>
        <w:t xml:space="preserve"> Navigating the specific licensing needs for commercial, industrial, or professional activities as mandated by Dubai government entities.</w:t>
      </w:r>
    </w:p>
    <w:bookmarkEnd w:id="22"/>
    <w:bookmarkStart w:id="23" w:name="contract-law"/>
    <w:p>
      <w:pPr>
        <w:pStyle w:val="Heading3"/>
      </w:pPr>
      <w:r>
        <w:t xml:space="preserve">3.2 Contract Law and Commercial Agreements</w:t>
      </w:r>
    </w:p>
    <w:p>
      <w:pPr>
        <w:pStyle w:val="FirstParagraph"/>
      </w:pPr>
      <w:r>
        <w:br/>
      </w:r>
    </w:p>
    <w:p>
      <w:pPr>
        <w:pStyle w:val="BodyText"/>
      </w:pPr>
      <w:r>
        <w:t xml:space="preserve">Contracts in the</w:t>
      </w:r>
      <w:r>
        <w:t xml:space="preserve"> </w:t>
      </w:r>
      <w:r>
        <w:rPr>
          <w:bCs/>
          <w:b/>
        </w:rPr>
        <w:t xml:space="preserve">United Arab Emirates Dubai</w:t>
      </w:r>
      <w:r>
        <w:t xml:space="preserve"> are governed primarily by Federal Decree-Law No. 42 of 2025 on Civil Transactions (effective recently, replacing older provisions). A</w:t>
      </w:r>
      <w:r>
        <w:t xml:space="preserve"> </w:t>
      </w:r>
      <w:r>
        <w:rPr>
          <w:bCs/>
          <w:b/>
        </w:rPr>
        <w:t xml:space="preserve">Lawyer</w:t>
      </w:r>
      <w:r>
        <w:t xml:space="preserve"> must draft and review agreements to ensure they are enforceable in local courts. Key areas include:</w:t>
      </w:r>
    </w:p>
    <w:p>
      <w:pPr>
        <w:numPr>
          <w:ilvl w:val="0"/>
          <w:numId w:val="1002"/>
        </w:numPr>
        <w:pStyle w:val="Compact"/>
      </w:pPr>
      <w:r>
        <w:t xml:space="preserve">Employment Contracts:  Navigating the Federal Decree-Law No. 33 of 2021 regarding Human Resources, which has significantly altered termination and end-of-service benefit structures.</w:t>
      </w:r>
    </w:p>
    <w:p>
      <w:pPr>
        <w:numPr>
          <w:ilvl w:val="0"/>
          <w:numId w:val="1002"/>
        </w:numPr>
        <w:pStyle w:val="Compact"/>
      </w:pPr>
      <w:r>
        <w:t xml:space="preserve">Lease Agreements:  Real estate laws in Dubai are specific. A</w:t>
      </w:r>
      <w:r>
        <w:t xml:space="preserve"> </w:t>
      </w:r>
      <w:r>
        <w:rPr>
          <w:bCs/>
          <w:b/>
        </w:rPr>
        <w:t xml:space="preserve">Lawyer</w:t>
      </w:r>
      <w:r>
        <w:t xml:space="preserve"> ensures that tenancy contracts comply with the Rental Law, protecting both landlords and tenants' rights.</w:t>
      </w:r>
    </w:p>
    <w:p>
      <w:pPr>
        <w:numPr>
          <w:ilvl w:val="0"/>
          <w:numId w:val="1002"/>
        </w:numPr>
        <w:pStyle w:val="Compact"/>
      </w:pPr>
      <w:r>
        <w:t xml:space="preserve">NDA and IP Protection:   Safeguarding intellectual property in a market that is increasingly innovation-driven.</w:t>
      </w:r>
    </w:p>
    <w:bookmarkEnd w:id="23"/>
    <w:bookmarkStart w:id="24" w:name="dispute-resolution"/>
    <w:p>
      <w:pPr>
        <w:pStyle w:val="Heading3"/>
      </w:pPr>
      <w:r>
        <w:t xml:space="preserve">3.3 Dispute Resolution and Litigation</w:t>
      </w:r>
    </w:p>
    <w:p>
      <w:pPr>
        <w:pStyle w:val="FirstParagraph"/>
      </w:pPr>
      <w:r>
        <w:br/>
      </w:r>
    </w:p>
    <w:p>
      <w:pPr>
        <w:pStyle w:val="BodyText"/>
      </w:pPr>
      <w:r>
        <w:t xml:space="preserve">If disputes arise, the jurisdiction determines the outcome. In mainland</w:t>
      </w:r>
      <w:r>
        <w:t xml:space="preserve"> </w:t>
      </w:r>
      <w:r>
        <w:rPr>
          <w:bCs/>
          <w:b/>
        </w:rPr>
        <w:t xml:space="preserve">Dubai</w:t>
      </w:r>
      <w:r>
        <w:t xml:space="preserve"> courts apply civil law procedures, whereas DIFC courts operate on English-based common law precedents. A</w:t>
      </w:r>
      <w:r>
        <w:t xml:space="preserve"> </w:t>
      </w:r>
      <w:r>
        <w:rPr>
          <w:bCs/>
          <w:b/>
        </w:rPr>
        <w:t xml:space="preserve">Lawyer</w:t>
      </w:r>
      <w:r>
        <w:t xml:space="preserve"> plays a critical role in:</w:t>
      </w:r>
    </w:p>
    <w:p>
      <w:pPr>
        <w:numPr>
          <w:ilvl w:val="0"/>
          <w:numId w:val="1003"/>
        </w:numPr>
        <w:pStyle w:val="Compact"/>
      </w:pPr>
      <w:r>
        <w:t xml:space="preserve">Avoidance:    Drafting robust dispute resolution clauses that specify arbitration (e.g., DIAC or DIFC-LCIA) to avoid lengthy court proceedings.</w:t>
      </w:r>
    </w:p>
    <w:p>
      <w:pPr>
        <w:numPr>
          <w:ilvl w:val="0"/>
          <w:numId w:val="1003"/>
        </w:numPr>
        <w:pStyle w:val="Compact"/>
      </w:pPr>
      <w:r>
        <w:t xml:space="preserve">Litigation Support:  Representing clients in local courts, ensuring procedural adherence and effective advocacy under UAE law.</w:t>
      </w:r>
    </w:p>
    <w:bookmarkEnd w:id="24"/>
    <w:bookmarkEnd w:id="25"/>
    <w:bookmarkStart w:id="26" w:name="regulatory-compliance"/>
    <w:p>
      <w:pPr>
        <w:pStyle w:val="Heading2"/>
      </w:pPr>
      <w:r>
        <w:t xml:space="preserve">4. Regulatory Compliance Landscape</w:t>
      </w:r>
    </w:p>
    <w:p>
      <w:pPr>
        <w:pStyle w:val="FirstParagraph"/>
      </w:pPr>
      <w:r>
        <w:t xml:space="preserve">The regulatory environment in the</w:t>
      </w:r>
      <w:r>
        <w:t xml:space="preserve"> </w:t>
      </w:r>
      <w:r>
        <w:rPr>
          <w:bCs/>
          <w:b/>
        </w:rPr>
        <w:t xml:space="preserve">United Arab Emirates Dubai</w:t>
      </w:r>
      <w:r>
        <w:t xml:space="preserve"> has undergone significant transformation to align with global standards. Key compliance areas where a</w:t>
      </w:r>
      <w:r>
        <w:t xml:space="preserve"> </w:t>
      </w:r>
      <w:r>
        <w:rPr>
          <w:bCs/>
          <w:b/>
        </w:rPr>
        <w:t xml:space="preserve">Lawyer</w:t>
      </w:r>
      <w:r>
        <w:t xml:space="preserve"> is essential include:</w:t>
      </w:r>
    </w:p>
    <w:p>
      <w:pPr>
        <w:numPr>
          <w:ilvl w:val="0"/>
          <w:numId w:val="1004"/>
        </w:numPr>
        <w:pStyle w:val="Compact"/>
      </w:pPr>
      <w:r>
        <w:t xml:space="preserve">Anti-Money Laundering (AML): The UAE has strict AML laws. Legal counsel must ensure corporate governance structures include robust KYC (Know Your Customer) protocols.</w:t>
      </w:r>
    </w:p>
    <w:p>
      <w:pPr>
        <w:numPr>
          <w:ilvl w:val="0"/>
          <w:numId w:val="1004"/>
        </w:numPr>
        <w:pStyle w:val="Compact"/>
      </w:pPr>
      <w:r>
        <w:t xml:space="preserve">Data Protection:   With the implementation of data protection regulations similar to GDPR, a</w:t>
      </w:r>
      <w:r>
        <w:t xml:space="preserve"> </w:t>
      </w:r>
      <w:r>
        <w:rPr>
          <w:bCs/>
          <w:b/>
        </w:rPr>
        <w:t xml:space="preserve">Lawyer</w:t>
      </w:r>
      <w:r>
        <w:t xml:space="preserve"> must advise on data privacy policies for entities operating in Dubai.</w:t>
      </w:r>
    </w:p>
    <w:p>
      <w:pPr>
        <w:numPr>
          <w:ilvl w:val="0"/>
          <w:numId w:val="1004"/>
        </w:numPr>
        <w:pStyle w:val="Compact"/>
      </w:pPr>
      <w:r>
        <w:t xml:space="preserve">Taxation: &amp;  &gt;Introduction of Corporate Tax (9%) and VAT requires legal structuring to optimize compliance while minimizing liability.</w:t>
      </w:r>
    </w:p>
    <w:bookmarkEnd w:id="26"/>
    <w:bookmarkStart w:id="27" w:name="risk-management"/>
    <w:p>
      <w:pPr>
        <w:pStyle w:val="Heading2"/>
      </w:pPr>
      <w:r>
        <w:t xml:space="preserve">5. Risk Management Strategy</w:t>
      </w:r>
    </w:p>
    <w:p>
      <w:pPr>
        <w:pStyle w:val="FirstParagraph"/>
      </w:pPr>
      <w:r>
        <w:t xml:space="preserve">Relying on a</w:t>
      </w:r>
      <w:r>
        <w:t xml:space="preserve"> </w:t>
      </w:r>
      <w:r>
        <w:rPr>
          <w:bCs/>
          <w:b/>
        </w:rPr>
        <w:t xml:space="preserve">Lawyer</w:t>
      </w:r>
      <w:r>
        <w:t xml:space="preserve"> is not just about solving problems but preventing them. The risk management strategy for the</w:t>
      </w:r>
      <w:r>
        <w:t xml:space="preserve"> </w:t>
      </w:r>
      <w:r>
        <w:rPr>
          <w:bCs/>
          <w:b/>
        </w:rPr>
        <w:t xml:space="preserve">United Arab Emirates Dubai</w:t>
      </w:r>
      <w:r>
        <w:t xml:space="preserve"> market includes:</w:t>
      </w:r>
    </w:p>
    <w:p>
      <w:pPr>
        <w:numPr>
          <w:ilvl w:val="0"/>
          <w:numId w:val="1005"/>
        </w:numPr>
        <w:pStyle w:val="Compact"/>
      </w:pPr>
      <w:r>
        <w:t xml:space="preserve">Cultural Sensitivity:  &gt;&gt;A local</w:t>
      </w:r>
      <w:r>
        <w:t xml:space="preserve"> </w:t>
      </w:r>
      <w:r>
        <w:rPr>
          <w:bCs/>
          <w:b/>
        </w:rPr>
        <w:t xml:space="preserve">Lawyer</w:t>
      </w:r>
      <w:r>
        <w:t xml:space="preserve"> understands the cultural nuances that influence business negotiations, particularly in relationship-based contracts.</w:t>
      </w:r>
    </w:p>
    <w:p>
      <w:pPr>
        <w:numPr>
          <w:ilvl w:val="0"/>
          <w:numId w:val="1005"/>
        </w:numPr>
        <w:pStyle w:val="Compact"/>
      </w:pPr>
      <w:r>
        <w:t xml:space="preserve">Regulatory Updates:  The legal landscape in the UAE is dynamic. Continuous monitoring by legal counsel ensures that businesses adapt to new federal laws instantly.</w:t>
      </w:r>
    </w:p>
    <w:p>
      <w:pPr>
        <w:numPr>
          <w:ilvl w:val="0"/>
          <w:numId w:val="1005"/>
        </w:numPr>
        <w:pStyle w:val="Compact"/>
      </w:pPr>
      <w:r>
        <w:t xml:space="preserve">Vision 2040 Alignment:  &gt; Aligning business strategies with Dubai’s long-term urban planning and economic visions, which often come with specific legal incentives or restrictions.</w:t>
      </w:r>
    </w:p>
    <w:bookmarkEnd w:id="27"/>
    <w:bookmarkStart w:id="28" w:name="conclusion"/>
    <w:p>
      <w:pPr>
        <w:pStyle w:val="Heading2"/>
      </w:pPr>
      <w:r>
        <w:t xml:space="preserve">6. Conclusion and Recommendations</w:t>
      </w:r>
    </w:p>
    <w:p>
      <w:pPr>
        <w:pStyle w:val="FirstParagraph"/>
      </w:pPr>
      <w:r>
        <w:t xml:space="preserve">In conclusion, the successful navigation of the</w:t>
      </w:r>
      <w:r>
        <w:t xml:space="preserve"> </w:t>
      </w:r>
      <w:r>
        <w:rPr>
          <w:bCs/>
          <w:b/>
        </w:rPr>
        <w:t xml:space="preserve">United Arab Emirates Dubai</w:t>
      </w:r>
      <w:r>
        <w:t xml:space="preserve"> market is inextricably linked to expert legal counsel. The complexity of the dual legal systems, evolving regulatory frameworks, and high standards for corporate governance necessitate a proactive approach.</w:t>
      </w:r>
    </w:p>
    <w:p>
      <w:pPr>
        <w:pStyle w:val="BodyText"/>
      </w:pPr>
      <w:r>
        <w:rPr>
          <w:bCs/>
          <w:b/>
        </w:rPr>
        <w:t xml:space="preserve">Recommendations:</w:t>
      </w:r>
    </w:p>
    <w:p>
      <w:pPr>
        <w:numPr>
          <w:ilvl w:val="0"/>
          <w:numId w:val="1006"/>
        </w:numPr>
        <w:pStyle w:val="Compact"/>
      </w:pPr>
      <w:r>
        <w:t xml:space="preserve">Hire Specialized Counsel:  &gt; Engage a</w:t>
      </w:r>
      <w:r>
        <w:t xml:space="preserve"> </w:t>
      </w:r>
      <w:r>
        <w:rPr>
          <w:bCs/>
          <w:b/>
        </w:rPr>
        <w:t xml:space="preserve">Lawyer</w:t>
      </w:r>
      <w:r>
        <w:t xml:space="preserve"> or law firm with specific expertise in UAE commercial law and, if applicable, DIFC common law.</w:t>
      </w:r>
    </w:p>
    <w:p>
      <w:pPr>
        <w:numPr>
          <w:ilvl w:val="0"/>
          <w:numId w:val="1006"/>
        </w:numPr>
        <w:pStyle w:val="Compact"/>
      </w:pPr>
      <w:r>
        <w:t xml:space="preserve">Audit Existing Contracts:  &gt; Review all current agreements to ensure they comply with the latest Civil Transactions Law and Labor Law amendments.</w:t>
      </w:r>
    </w:p>
    <w:p>
      <w:pPr>
        <w:numPr>
          <w:ilvl w:val="0"/>
          <w:numId w:val="1006"/>
        </w:numPr>
        <w:pStyle w:val="Compact"/>
      </w:pPr>
      <w:r>
        <w:t xml:space="preserve">Implement Compliance Protocols:  &gt; Establish internal legal compliance teams supervised by external</w:t>
      </w:r>
      <w:r>
        <w:t xml:space="preserve"> </w:t>
      </w:r>
      <w:r>
        <w:rPr>
          <w:bCs/>
          <w:b/>
        </w:rPr>
        <w:t xml:space="preserve">Lawyer</w:t>
      </w:r>
      <w:r>
        <w:t xml:space="preserve"> advisors.</w:t>
      </w:r>
    </w:p>
    <w:p>
      <w:pPr>
        <w:pStyle w:val="FirstParagraph"/>
      </w:pPr>
      <w:r>
        <w:t xml:space="preserve">The integration of a dedicated</w:t>
      </w:r>
      <w:r>
        <w:t xml:space="preserve"> </w:t>
      </w:r>
      <w:r>
        <w:rPr>
          <w:bCs/>
          <w:b/>
        </w:rPr>
        <w:t xml:space="preserve">Lawyer</w:t>
      </w:r>
      <w:r>
        <w:t xml:space="preserve"> into the core operational strategy is not an expense but an investment in stability and growth within the</w:t>
      </w:r>
    </w:p>
    <w:p>
      <w:pPr>
        <w:pStyle w:val="BodyText"/>
      </w:pPr>
      <w:r>
        <w:t xml:space="preserve">United Arab Emirates Dubai.</w:t>
      </w:r>
    </w:p>
    <w:p>
      <w:pPr>
        <w:pStyle w:val="BodyText"/>
      </w:pPr>
      <w:r>
        <w:t xml:space="preserve">. By prioritizing legal excellence, stakeholders can fully capitalize on the opportunities this vibrant emirate has to offer.</w:t>
      </w:r>
    </w:p>
    <w:bookmarkEnd w:id="28"/>
    <w:bookmarkStart w:id="29" w:name="appendix"/>
    <w:p>
      <w:pPr>
        <w:pStyle w:val="Heading2"/>
      </w:pPr>
      <w:r>
        <w:t xml:space="preserve">7. Appendix: Key Legal References</w:t>
      </w:r>
    </w:p>
    <w:p>
      <w:pPr>
        <w:pStyle w:val="FirstParagraph"/>
      </w:pPr>
      <w:r>
        <w:rPr>
          <w:bCs/>
          <w:b/>
        </w:rPr>
        <w:t xml:space="preserve">Law/Regulation</w:t>
      </w:r>
    </w:p>
    <w:p>
      <w:pPr>
        <w:pStyle w:val="BodyText"/>
      </w:pPr>
      <w:r>
        <w:rPr>
          <w:bCs/>
          <w:b/>
        </w:rPr>
        <w:t xml:space="preserve">Description</w:t>
      </w:r>
    </w:p>
    <w:p>
      <w:pPr>
        <w:pStyle w:val="BodyText"/>
      </w:pPr>
      <w:r>
        <w:rPr>
          <w:bCs/>
          <w:b/>
        </w:rPr>
        <w:t xml:space="preserve">Relevance to Dubai Operations</w:t>
      </w:r>
      <w:r>
        <w:t xml:space="preserve"> </w:t>
      </w:r>
      <w:r>
        <w:t xml:space="preserve">tr &gt;</w:t>
      </w:r>
      <w:r>
        <w:t xml:space="preserve"> </w:t>
      </w:r>
      <w:r>
        <w:t xml:space="preserve">td &gt; Federal Decree-Law No. 42 of 2025</w:t>
      </w:r>
      <w:r>
        <w:br/>
      </w:r>
      <w:r>
        <w:t xml:space="preserve">Civil Transactions Law</w:t>
      </w:r>
      <w:r>
        <w:t xml:space="preserve"> </w:t>
      </w:r>
      <w:r>
        <w:t xml:space="preserve">td Governs contracts, obligations, and civil rights. Essential for all commercial agreements in mainland Dubai.</w:t>
      </w:r>
    </w:p>
    <w:p>
      <w:pPr>
        <w:pStyle w:val="BodyText"/>
      </w:pPr>
      <w:r>
        <w:t xml:space="preserve">Federal Decree-Law No. 33 of 201</w:t>
      </w:r>
    </w:p>
    <w:p>
      <w:pPr>
        <w:pStyle w:val="BodyText"/>
      </w:pPr>
      <w:r>
        <w:t xml:space="preserve">Regulation of Employment Relationships</w:t>
      </w:r>
    </w:p>
    <w:p>
      <w:pPr>
        <w:pStyle w:val="BodyText"/>
      </w:pPr>
      <w:r>
        <w:br/>
      </w:r>
    </w:p>
    <w:p>
      <w:pPr>
        <w:pStyle w:val="BodyText"/>
      </w:pPr>
      <w:r>
        <w:t xml:space="preserve">td &gt; UAE Corporate Tax Law</w:t>
      </w:r>
      <w:r>
        <w:br/>
      </w:r>
      <w:r>
        <w:t xml:space="preserve">Federal Decree-Law No. 47 of 2025</w:t>
      </w:r>
      <w:r>
        <w:t xml:space="preserve"> </w:t>
      </w:r>
      <w:r>
        <w:t xml:space="preserve">td Introduces corporate taxation and compliance reporting requirements for businesses in the UAE.</w:t>
      </w:r>
    </w:p>
    <w:p>
      <w:pPr>
        <w:pStyle w:val="BodyText"/>
      </w:pPr>
      <w:r>
        <w:t xml:space="preserve">DIFC Laws</w:t>
      </w:r>
    </w:p>
    <w:p>
      <w:pPr>
        <w:pStyle w:val="BodyText"/>
      </w:pPr>
      <w:r>
        <w:br/>
      </w:r>
      <w:r>
        <w:t xml:space="preserve">Common Law Framework</w:t>
      </w:r>
      <w:r>
        <w:br/>
      </w:r>
      <w:r>
        <w:t xml:space="preserve">/th &gt; Applies specifically to entities registered within the Dubai International Financial Centre Free Zone. td &gt; Requires legal advice from lawyers trained in common law principles. td &gt;</w:t>
      </w:r>
    </w:p>
    <w:p>
      <w:pPr>
        <w:pStyle w:val="BodyText"/>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2026-07-29T15:15:30Z</dcterms:created>
  <dcterms:modified xsi:type="dcterms:W3CDTF">2026-07-29T15:15:30Z</dcterms:modified>
</cp:coreProperties>
</file>

<file path=docProps/custom.xml><?xml version="1.0" encoding="utf-8"?>
<Properties xmlns="http://schemas.openxmlformats.org/officeDocument/2006/custom-properties" xmlns:vt="http://schemas.openxmlformats.org/officeDocument/2006/docPropsVTypes"/>
</file>