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Digital</w:t>
      </w:r>
      <w:r>
        <w:t xml:space="preserve"> </w:t>
      </w:r>
      <w:r>
        <w:t xml:space="preserve">Librarian</w:t>
      </w:r>
      <w:r>
        <w:t xml:space="preserve"> </w:t>
      </w:r>
      <w:r>
        <w:t xml:space="preserve">Systems</w:t>
      </w:r>
      <w:r>
        <w:t xml:space="preserve"> </w:t>
      </w:r>
      <w:r>
        <w:t xml:space="preserve">in</w:t>
      </w:r>
      <w:r>
        <w:t xml:space="preserve"> </w:t>
      </w:r>
      <w:r>
        <w:t xml:space="preserve">Indonesia</w:t>
      </w:r>
      <w:r>
        <w:t xml:space="preserve"> </w:t>
      </w:r>
      <w:r>
        <w:t xml:space="preserve">Jakarta</w:t>
      </w:r>
    </w:p>
    <w:bookmarkStart w:id="31" w:name="X95f51014afb88a76c3739e1014bba8b29c46f18"/>
    <w:p>
      <w:pPr>
        <w:pStyle w:val="Heading1"/>
      </w:pPr>
      <w:r>
        <w:t xml:space="preserve">Project Report on Librarian Infrastructure Development in Indonesia Jakarta</w:t>
      </w:r>
    </w:p>
    <w:p>
      <w:pPr>
        <w:pStyle w:val="FirstParagraph"/>
      </w:pPr>
      <w:r>
        <w:rPr>
          <w:bCs/>
          <w:b/>
        </w:rPr>
        <w:t xml:space="preserve">Date:</w:t>
      </w:r>
      <w:r>
        <w:t xml:space="preserve"> </w:t>
      </w:r>
      <w:r>
        <w:t xml:space="preserve">October 26, 2023</w:t>
      </w:r>
      <w:r>
        <w:br/>
      </w:r>
      <w:r>
        <w:rPr>
          <w:bCs/>
          <w:b/>
        </w:rPr>
        <w:t xml:space="preserve">To:</w:t>
      </w:r>
      <w:r>
        <w:t xml:space="preserve">The Board of Directors, National Library Initiative</w:t>
      </w:r>
      <w:r>
        <w:br/>
      </w:r>
    </w:p>
    <w:p>
      <w:pPr>
        <w:pStyle w:val="BodyText"/>
      </w:pPr>
      <w:r>
        <w:t xml:space="preserve">The Project Management Office</w:t>
      </w:r>
      <w:r>
        <w:br/>
      </w:r>
      <w:r>
        <w:t xml:space="preserve">A Comprehensive Analysis and Strategy for Modernizing Librarian Services in Indonesia Jakarta</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strategic framework, operational challenges, and proposed solutions regarding the modernization of public library systems within</w:t>
      </w:r>
      <w:r>
        <w:t xml:space="preserve"> </w:t>
      </w:r>
      <w:r>
        <w:rPr>
          <w:bCs/>
          <w:b/>
        </w:rPr>
        <w:t xml:space="preserve">Indonesia Jakarta</w:t>
      </w:r>
      <w:r>
        <w:t xml:space="preserve">. As the capital city serves as the economic and cultural heart of</w:t>
      </w:r>
    </w:p>
    <w:p>
      <w:pPr>
        <w:pStyle w:val="BodyText"/>
      </w:pPr>
      <w:r>
        <w:t xml:space="preserve">Indonesia Jakarta, it is imperative that its educational infrastructure reflects this status. The core objective of this initiative is to redefine the role of the</w:t>
      </w:r>
      <w:r>
        <w:t xml:space="preserve"> </w:t>
      </w:r>
      <w:r>
        <w:rPr>
          <w:bCs/>
          <w:b/>
        </w:rPr>
        <w:t xml:space="preserve">Librarian</w:t>
      </w:r>
      <w:r>
        <w:t xml:space="preserve">, transforming them from mere custodians of books into dynamic information specialists and community educators. This document details how digital integration, architectural upgrades, and professional training can enhance accessibility and literacy rates across the diverse districts of</w:t>
      </w:r>
      <w:r>
        <w:t xml:space="preserve"> </w:t>
      </w:r>
      <w:r>
        <w:rPr>
          <w:bCs/>
          <w:b/>
        </w:rPr>
        <w:t xml:space="preserve">Indonesia Jakarta</w:t>
      </w:r>
      <w:r>
        <w:t xml:space="preserve">.</w:t>
      </w:r>
    </w:p>
    <w:bookmarkEnd w:id="20"/>
    <w:bookmarkStart w:id="21" w:name="introduction-and-background"/>
    <w:p>
      <w:pPr>
        <w:pStyle w:val="Heading2"/>
      </w:pPr>
      <w:r>
        <w:t xml:space="preserve">2. Introduction and Background</w:t>
      </w:r>
    </w:p>
    <w:p>
      <w:pPr>
        <w:pStyle w:val="FirstParagraph"/>
      </w:pPr>
      <w:r>
        <w:t xml:space="preserve">The rapid urbanization of</w:t>
      </w:r>
      <w:r>
        <w:t xml:space="preserve"> </w:t>
      </w:r>
      <w:r>
        <w:rPr>
          <w:bCs/>
          <w:b/>
        </w:rPr>
        <w:t xml:space="preserve">Indonesia Jakarta</w:t>
      </w:r>
      <w:r>
        <w:t xml:space="preserve">presents unique logistical challenges for public service delivery. With a population exceeding ten million people in the metropolitan area alone, the demand for accessible knowledge resources has never been higher. However, traditional library models often struggle to keep pace with the digital expectations of modern users. In this context, the term</w:t>
      </w:r>
      <w:r>
        <w:t xml:space="preserve"> </w:t>
      </w:r>
      <w:r>
        <w:rPr>
          <w:bCs/>
          <w:b/>
        </w:rPr>
        <w:t xml:space="preserve">Librarian</w:t>
      </w:r>
      <w:r>
        <w:t xml:space="preserve">has evolved significantly. A modern</w:t>
      </w:r>
    </w:p>
    <w:p>
      <w:pPr>
        <w:pStyle w:val="BodyText"/>
      </w:pPr>
      <w:r>
        <w:t xml:space="preserve">Librarian</w:t>
      </w:r>
      <w:r>
        <w:t xml:space="preserve">is no longer defined solely by their ability to catalog physical items, but by their capacity to curate digital content, provide data literacy training, and foster community engagement.</w:t>
      </w:r>
    </w:p>
    <w:p>
      <w:pPr>
        <w:pStyle w:val="BodyText"/>
      </w:pPr>
      <w:r>
        <w:t xml:space="preserve">This</w:t>
      </w:r>
      <w:r>
        <w:t xml:space="preserve"> </w:t>
      </w:r>
      <w:r>
        <w:rPr>
          <w:bCs/>
          <w:b/>
        </w:rPr>
        <w:t xml:space="preserve">Project Report</w:t>
      </w:r>
      <w:r>
        <w:t xml:space="preserve">serves as a critical document for stakeholders interested in the development of smart cities within</w:t>
      </w:r>
    </w:p>
    <w:p>
      <w:pPr>
        <w:pStyle w:val="BodyText"/>
      </w:pPr>
      <w:r>
        <w:t xml:space="preserve">Indonesia Jakarta</w:t>
      </w:r>
      <w:r>
        <w:rPr>
          <w:bCs/>
          <w:b/>
        </w:rPr>
        <w:t xml:space="preserve">.</w:t>
      </w:r>
      <w:r>
        <w:t xml:space="preserve"> </w:t>
      </w:r>
      <w:r>
        <w:t xml:space="preserve">By focusing on the human element—the</w:t>
      </w:r>
      <w:r>
        <w:t xml:space="preserve"> </w:t>
      </w:r>
      <w:r>
        <w:rPr>
          <w:bCs/>
          <w:b/>
        </w:rPr>
        <w:t xml:space="preserve">Librarian</w:t>
      </w:r>
    </w:p>
    <w:p>
      <w:pPr>
        <w:pStyle w:val="BodyText"/>
      </w:pPr>
      <w:r>
        <w:t xml:space="preserve">-the project aims to ensure that technological investments yield tangible social benefits. The scope of this report covers three major metropolitan libraries and five satellite community centers located in key districts of</w:t>
      </w:r>
      <w:r>
        <w:t xml:space="preserve"> </w:t>
      </w:r>
      <w:r>
        <w:rPr>
          <w:bCs/>
          <w:b/>
        </w:rPr>
        <w:t xml:space="preserve">Indonesia Jakarta</w:t>
      </w:r>
      <w:r>
        <w:t xml:space="preserve">, including Central, South, and East Jakarta.</w:t>
      </w:r>
    </w:p>
    <w:bookmarkEnd w:id="21"/>
    <w:bookmarkStart w:id="22" w:name="current-landscape-analysis"/>
    <w:p>
      <w:pPr>
        <w:pStyle w:val="Heading2"/>
      </w:pPr>
      <w:r>
        <w:t xml:space="preserve">3. Current Landscape Analysis</w:t>
      </w:r>
    </w:p>
    <w:p>
      <w:pPr>
        <w:pStyle w:val="FirstParagraph"/>
      </w:pPr>
      <w:r>
        <w:t xml:space="preserve">An audit conducted prior to the initiation of this project revealed several critical gaps in the current infrastructure serving</w:t>
      </w:r>
    </w:p>
    <w:p>
      <w:pPr>
        <w:pStyle w:val="BodyText"/>
      </w:pPr>
      <w:r>
        <w:t xml:space="preserve">Indonesia Jakarta</w:t>
      </w:r>
      <w:r>
        <w:rPr>
          <w:bCs/>
          <w:b/>
        </w:rPr>
        <w:t xml:space="preserve">.</w:t>
      </w:r>
    </w:p>
    <w:p>
      <w:pPr>
        <w:numPr>
          <w:ilvl w:val="0"/>
          <w:numId w:val="1001"/>
        </w:numPr>
        <w:pStyle w:val="Compact"/>
      </w:pPr>
      <w:r>
        <w:rPr>
          <w:bCs/>
          <w:b/>
        </w:rPr>
        <w:t xml:space="preserve">Digital Divide:</w:t>
      </w:r>
      <w:r>
        <w:t xml:space="preserve">A significant portion of the population lacks high-speed internet access at home. The library, therefore, acts as a crucial equalizer. However, many existing facilities in</w:t>
      </w:r>
      <w:r>
        <w:t xml:space="preserve"> </w:t>
      </w:r>
      <w:r>
        <w:rPr>
          <w:bCs/>
          <w:b/>
        </w:rPr>
        <w:t xml:space="preserve">Indonesia Jakarta</w:t>
      </w:r>
      <w:r>
        <w:t xml:space="preserve">have outdated hardware that hinders efficient research.</w:t>
      </w:r>
    </w:p>
    <w:p>
      <w:pPr>
        <w:numPr>
          <w:ilvl w:val="0"/>
          <w:numId w:val="1001"/>
        </w:numPr>
        <w:pStyle w:val="Compact"/>
      </w:pPr>
      <w:r>
        <w:rPr>
          <w:bCs/>
          <w:b/>
        </w:rPr>
        <w:t xml:space="preserve">Skill Gaps among Staff:</w:t>
      </w:r>
      <w:r>
        <w:t xml:space="preserve">The traditional</w:t>
      </w:r>
      <w:r>
        <w:t xml:space="preserve"> </w:t>
      </w:r>
      <w:r>
        <w:rPr>
          <w:bCs/>
          <w:b/>
        </w:rPr>
        <w:t xml:space="preserve">Librarian</w:t>
      </w:r>
    </w:p>
    <w:p>
      <w:pPr>
        <w:numPr>
          <w:ilvl w:val="0"/>
          <w:numId w:val="1000"/>
        </w:numPr>
        <w:pStyle w:val="Compact"/>
      </w:pPr>
      <w:r>
        <w:t xml:space="preserve">-training programs often fail to prepare staff for the complexities of digital asset management. There is a pressing need for upskilling the workforce to handle electronic databases, multimedia archives, and cybersecurity protocols.</w:t>
      </w:r>
    </w:p>
    <w:p>
      <w:pPr>
        <w:numPr>
          <w:ilvl w:val="0"/>
          <w:numId w:val="1001"/>
        </w:numPr>
        <w:pStyle w:val="Compact"/>
      </w:pPr>
      <w:r>
        <w:rPr>
          <w:bCs/>
          <w:b/>
        </w:rPr>
        <w:t xml:space="preserve">User Experience:</w:t>
      </w:r>
      <w:r>
        <w:t xml:space="preserve">In</w:t>
      </w:r>
      <w:r>
        <w:t xml:space="preserve"> </w:t>
      </w:r>
      <w:r>
        <w:rPr>
          <w:bCs/>
          <w:b/>
        </w:rPr>
        <w:t xml:space="preserve">Indonesia Jakarta</w:t>
      </w:r>
      <w:r>
        <w:t xml:space="preserve">, young professionals and students are accustomed to instant access via smartphones. Traditional card catalogs and slow search systems are causing a decline in foot traffic among the younger demographic.</w:t>
      </w:r>
    </w:p>
    <w:bookmarkEnd w:id="22"/>
    <w:bookmarkStart w:id="23" w:name="strategic-objectives"/>
    <w:p>
      <w:pPr>
        <w:pStyle w:val="Heading2"/>
      </w:pPr>
      <w:r>
        <w:t xml:space="preserve">4. Strategic Objectives</w:t>
      </w:r>
    </w:p>
    <w:p>
      <w:pPr>
        <w:pStyle w:val="FirstParagraph"/>
      </w:pPr>
      <w:r>
        <w:t xml:space="preserve">The primary goals of this initiative are designed to address the specific needs of</w:t>
      </w:r>
      <w:r>
        <w:t xml:space="preserve"> </w:t>
      </w:r>
      <w:r>
        <w:rPr>
          <w:bCs/>
          <w:b/>
        </w:rPr>
        <w:t xml:space="preserve">Indonesia Jakarta.</w:t>
      </w:r>
    </w:p>
    <w:p>
      <w:pPr>
        <w:numPr>
          <w:ilvl w:val="0"/>
          <w:numId w:val="1002"/>
        </w:numPr>
        <w:pStyle w:val="Compact"/>
      </w:pPr>
      <w:r>
        <w:rPr>
          <w:bCs/>
          <w:b/>
        </w:rPr>
        <w:t xml:space="preserve">Digital Transformation:</w:t>
      </w:r>
      <w:r>
        <w:t xml:space="preserve">To implement a unified Library Management System (LMS) that allows patrons in</w:t>
      </w:r>
      <w:r>
        <w:t xml:space="preserve"> </w:t>
      </w:r>
      <w:r>
        <w:rPr>
          <w:bCs/>
          <w:b/>
        </w:rPr>
        <w:t xml:space="preserve">Indonesia Jakarta</w:t>
      </w:r>
      <w:r>
        <w:t xml:space="preserve">to reserve books, access e-journals, and attend virtual workshops remotely.</w:t>
      </w:r>
    </w:p>
    <w:p>
      <w:pPr>
        <w:numPr>
          <w:ilvl w:val="0"/>
          <w:numId w:val="1002"/>
        </w:numPr>
        <w:pStyle w:val="Compact"/>
      </w:pPr>
      <w:r>
        <w:rPr>
          <w:bCs/>
          <w:b/>
        </w:rPr>
        <w:t xml:space="preserve">Elevation of the Librarian Role:</w:t>
      </w:r>
      <w:r>
        <w:t xml:space="preserve">To establish a continuous professional development program for all</w:t>
      </w:r>
      <w:r>
        <w:t xml:space="preserve"> </w:t>
      </w:r>
      <w:r>
        <w:rPr>
          <w:bCs/>
          <w:b/>
        </w:rPr>
        <w:t xml:space="preserve">Librarian</w:t>
      </w:r>
    </w:p>
    <w:p>
      <w:pPr>
        <w:numPr>
          <w:ilvl w:val="0"/>
          <w:numId w:val="1000"/>
        </w:numPr>
        <w:pStyle w:val="Compact"/>
      </w:pPr>
      <w:r>
        <w:t xml:space="preserve">-staff. This includes certifications in digital literacy instruction, data analysis, and community outreach management.</w:t>
      </w:r>
    </w:p>
    <w:p>
      <w:pPr>
        <w:numPr>
          <w:ilvl w:val="0"/>
          <w:numId w:val="1002"/>
        </w:numPr>
        <w:pStyle w:val="Compact"/>
      </w:pPr>
      <w:r>
        <w:rPr>
          <w:bCs/>
          <w:b/>
        </w:rPr>
        <w:t xml:space="preserve">Community Hub Creation:</w:t>
      </w:r>
      <w:r>
        <w:t xml:space="preserve">To redesign library spaces in</w:t>
      </w:r>
      <w:r>
        <w:t xml:space="preserve"> </w:t>
      </w:r>
      <w:r>
        <w:rPr>
          <w:bCs/>
          <w:b/>
        </w:rPr>
        <w:t xml:space="preserve">Indonesia Jakarta</w:t>
      </w:r>
      <w:r>
        <w:t xml:space="preserve">-to function as co-working spaces and innovation hubs, thereby increasing their relevance to the local workforce.</w:t>
      </w:r>
    </w:p>
    <w:bookmarkEnd w:id="23"/>
    <w:bookmarkStart w:id="26" w:name="X8c730fe01a2ee0f9d467888458ca6067e9c218f"/>
    <w:p>
      <w:pPr>
        <w:pStyle w:val="Heading2"/>
      </w:pPr>
      <w:r>
        <w:t xml:space="preserve">5. Implementation Strategy: The New Librarian Model</w:t>
      </w:r>
    </w:p>
    <w:p>
      <w:pPr>
        <w:pStyle w:val="FirstParagraph"/>
      </w:pPr>
      <w:r>
        <w:t xml:space="preserve">A central theme of this</w:t>
      </w:r>
      <w:r>
        <w:t xml:space="preserve"> </w:t>
      </w:r>
      <w:r>
        <w:rPr>
          <w:bCs/>
          <w:b/>
        </w:rPr>
        <w:t xml:space="preserve">Project Report</w:t>
      </w:r>
    </w:p>
    <w:p>
      <w:pPr>
        <w:pStyle w:val="BodyText"/>
      </w:pPr>
      <w:r>
        <w:t xml:space="preserve">-is the redefinition of the</w:t>
      </w:r>
      <w:r>
        <w:t xml:space="preserve"> </w:t>
      </w:r>
      <w:r>
        <w:rPr>
          <w:bCs/>
          <w:b/>
        </w:rPr>
        <w:t xml:space="preserve">Librarian</w:t>
      </w:r>
    </w:p>
    <w:p>
      <w:pPr>
        <w:pStyle w:val="BodyText"/>
      </w:pPr>
      <w:r>
        <w:t xml:space="preserve">-identity in the context of</w:t>
      </w:r>
    </w:p>
    <w:p>
      <w:pPr>
        <w:pStyle w:val="BodyText"/>
      </w:pPr>
      <w:r>
        <w:t xml:space="preserve">Indonesia Jakarta</w:t>
      </w:r>
      <w:r>
        <w:rPr>
          <w:bCs/>
          <w:b/>
        </w:rPr>
        <w:t xml:space="preserve">.</w:t>
      </w:r>
      <w:r>
        <w:t xml:space="preserve">We propose a phased approach to integrating technology and human expertise.</w:t>
      </w:r>
    </w:p>
    <w:bookmarkStart w:id="24" w:name="phase-1-infrastructure-upgrade"/>
    <w:p>
      <w:pPr>
        <w:pStyle w:val="Heading3"/>
      </w:pPr>
      <w:r>
        <w:t xml:space="preserve">Phase 1: Infrastructure Upgrade</w:t>
      </w:r>
    </w:p>
    <w:p>
      <w:pPr>
        <w:pStyle w:val="FirstParagraph"/>
      </w:pPr>
      <w:r>
        <w:t xml:space="preserve">In this phase, physical spaces across</w:t>
      </w:r>
      <w:r>
        <w:t xml:space="preserve"> </w:t>
      </w:r>
      <w:r>
        <w:rPr>
          <w:bCs/>
          <w:b/>
        </w:rPr>
        <w:t xml:space="preserve">Indonesia Jakarta</w:t>
      </w:r>
      <w:r>
        <w:t xml:space="preserve">-will be renovated. This includes the installation of high-speed fiber optics, comfortable study pods, and interactive digital kiosks. These physical changes are designed to support the new workflow of the modern</w:t>
      </w:r>
    </w:p>
    <w:p>
      <w:pPr>
        <w:pStyle w:val="BodyText"/>
      </w:pPr>
      <w:r>
        <w:t xml:space="preserve">Librarian.</w:t>
      </w:r>
    </w:p>
    <w:bookmarkEnd w:id="24"/>
    <w:bookmarkStart w:id="25" w:name="X80aad85838c1f47ea52867f2978ea866f4ab0ec"/>
    <w:p>
      <w:pPr>
        <w:pStyle w:val="Heading3"/>
      </w:pPr>
      <w:r>
        <w:t xml:space="preserve">Phase 2: Professional Training and Certification</w:t>
      </w:r>
    </w:p>
    <w:p>
      <w:pPr>
        <w:pStyle w:val="FirstParagraph"/>
      </w:pPr>
      <w:r>
        <w:t xml:space="preserve">This is perhaps the most critical component. The project will partner with local universities in</w:t>
      </w:r>
      <w:r>
        <w:t xml:space="preserve"> </w:t>
      </w:r>
      <w:r>
        <w:rPr>
          <w:bCs/>
          <w:b/>
        </w:rPr>
        <w:t xml:space="preserve">Indonesia Jakarta</w:t>
      </w:r>
      <w:r>
        <w:t xml:space="preserve">-to create a specialized curriculum for aspiring and current</w:t>
      </w:r>
    </w:p>
    <w:p>
      <w:pPr>
        <w:pStyle w:val="BodyText"/>
      </w:pPr>
      <w:r>
        <w:t xml:space="preserve">Librarian</w:t>
      </w:r>
    </w:p>
    <w:p>
      <w:pPr>
        <w:pStyle w:val="BodyText"/>
      </w:pPr>
      <w:r>
        <w:t xml:space="preserve">-staff. This curriculum will cover:</w:t>
      </w:r>
    </w:p>
    <w:p>
      <w:pPr>
        <w:numPr>
          <w:ilvl w:val="0"/>
          <w:numId w:val="1003"/>
        </w:numPr>
        <w:pStyle w:val="Compact"/>
      </w:pPr>
      <w:r>
        <w:t xml:space="preserve">Digital Archiving and Preservation Techniques.</w:t>
      </w:r>
    </w:p>
    <w:p>
      <w:pPr>
        <w:numPr>
          <w:ilvl w:val="0"/>
          <w:numId w:val="1003"/>
        </w:numPr>
        <w:pStyle w:val="Compact"/>
      </w:pPr>
      <w:r>
        <w:t xml:space="preserve">Data Privacy Ethics for Users in an Urban Setting.</w:t>
      </w:r>
    </w:p>
    <w:p>
      <w:pPr>
        <w:numPr>
          <w:ilvl w:val="0"/>
          <w:numId w:val="1003"/>
        </w:numPr>
        <w:pStyle w:val="Compact"/>
      </w:pPr>
      <w:r>
        <w:t xml:space="preserve">Cultural Competency: Understanding the diverse needs of Jakarta's multicultural population.</w:t>
      </w:r>
    </w:p>
    <w:bookmarkEnd w:id="25"/>
    <w:bookmarkEnd w:id="26"/>
    <w:bookmarkStart w:id="27" w:name="Xecd8e0229d9677e5caa9a580ec20419a5d3f173"/>
    <w:p>
      <w:pPr>
        <w:pStyle w:val="Heading2"/>
      </w:pPr>
      <w:r>
        <w:t xml:space="preserve">6. Expected Outcomes and Impact on Indonesia Jakarta</w:t>
      </w:r>
    </w:p>
    <w:p>
      <w:pPr>
        <w:pStyle w:val="FirstParagraph"/>
      </w:pPr>
      <w:r>
        <w:t xml:space="preserve">The successful execution of this project will have profound implications for</w:t>
      </w:r>
    </w:p>
    <w:p>
      <w:pPr>
        <w:pStyle w:val="BodyText"/>
      </w:pPr>
      <w:r>
        <w:t xml:space="preserve">Indonesia Jakarta</w:t>
      </w:r>
      <w:r>
        <w:rPr>
          <w:bCs/>
          <w:b/>
        </w:rPr>
        <w:t xml:space="preserve">.</w:t>
      </w:r>
    </w:p>
    <w:p>
      <w:pPr>
        <w:pStyle w:val="BodyText"/>
      </w:pPr>
      <w:r>
        <w:rPr>
          <w:bCs/>
          <w:b/>
        </w:rPr>
        <w:t xml:space="preserve">Economic Impact:</w:t>
      </w:r>
      <w:r>
        <w:t xml:space="preserve">-By enhancing digital literacy through the guidance of skilled</w:t>
      </w:r>
    </w:p>
    <w:p>
      <w:pPr>
        <w:pStyle w:val="BodyText"/>
      </w:pPr>
      <w:r>
        <w:t xml:space="preserve">Librarian-staff, we aim to improve the employability of residents. A digitally literate workforce is essential for maintaining Jakarta's status as a global business hub.</w:t>
      </w:r>
    </w:p>
    <w:p>
      <w:pPr>
        <w:pStyle w:val="BodyText"/>
      </w:pPr>
      <w:r>
        <w:rPr>
          <w:bCs/>
          <w:b/>
        </w:rPr>
        <w:t xml:space="preserve">Social Cohesion:</w:t>
      </w:r>
      <w:r>
        <w:t xml:space="preserve">Libraries serve as neutral ground for social interaction. In a densely populated city like</w:t>
      </w:r>
    </w:p>
    <w:p>
      <w:pPr>
        <w:pStyle w:val="BodyText"/>
      </w:pPr>
      <w:r>
        <w:t xml:space="preserve">Indonesia Jakarta-, providing safe, inclusive spaces managed by empathetic</w:t>
      </w:r>
    </w:p>
    <w:p>
      <w:pPr>
        <w:pStyle w:val="BodyText"/>
      </w:pPr>
      <w:r>
        <w:t xml:space="preserve">Librarian-professionals can help bridge social divides and foster community resilience.</w:t>
      </w:r>
    </w:p>
    <w:p>
      <w:pPr>
        <w:pStyle w:val="BodyText"/>
      </w:pPr>
      <w:r>
        <w:rPr>
          <w:bCs/>
          <w:b/>
        </w:rPr>
        <w:t xml:space="preserve">Educational Excellence:</w:t>
      </w:r>
      <w:r>
        <w:t xml:space="preserve">-Students in</w:t>
      </w:r>
    </w:p>
    <w:p>
      <w:pPr>
        <w:pStyle w:val="BodyText"/>
      </w:pPr>
      <w:r>
        <w:t xml:space="preserve">Indonesia Jakarta-will have equitable access to world-class resources. The proactive role of the</w:t>
      </w:r>
    </w:p>
    <w:p>
      <w:pPr>
        <w:pStyle w:val="BodyText"/>
      </w:pPr>
      <w:r>
        <w:t xml:space="preserve">Librarian-in guiding research will lead to higher academic standards and critical thinking skills among the youth.</w:t>
      </w:r>
    </w:p>
    <w:bookmarkEnd w:id="27"/>
    <w:bookmarkStart w:id="28" w:name="challenges-and-risk-mitigation"/>
    <w:p>
      <w:pPr>
        <w:pStyle w:val="Heading2"/>
      </w:pPr>
      <w:r>
        <w:t xml:space="preserve">7. Challenges and Risk Mitigation</w:t>
      </w:r>
    </w:p>
    <w:p>
      <w:pPr>
        <w:pStyle w:val="FirstParagraph"/>
      </w:pPr>
      <w:r>
        <w:t xml:space="preserve">While the potential benefits are substantial, this project faces challenges unique to</w:t>
      </w:r>
    </w:p>
    <w:p>
      <w:pPr>
        <w:pStyle w:val="BodyText"/>
      </w:pPr>
      <w:r>
        <w:t xml:space="preserve">Indonesia Jakarta.</w:t>
      </w:r>
    </w:p>
    <w:p>
      <w:pPr>
        <w:numPr>
          <w:ilvl w:val="0"/>
          <w:numId w:val="1004"/>
        </w:numPr>
        <w:pStyle w:val="Compact"/>
      </w:pPr>
      <w:r>
        <w:rPr>
          <w:bCs/>
          <w:b/>
        </w:rPr>
        <w:t xml:space="preserve">Flood Risks:</w:t>
      </w:r>
      <w:r>
        <w:t xml:space="preserve">-Jakarta is prone to flooding. All library facilities must be elevated or equipped with flood barriers. The digital infrastructure must also have robust backup systems.</w:t>
      </w:r>
    </w:p>
    <w:p>
      <w:pPr>
        <w:numPr>
          <w:ilvl w:val="0"/>
          <w:numId w:val="1004"/>
        </w:numPr>
        <w:pStyle w:val="Compact"/>
      </w:pPr>
      <w:r>
        <w:rPr>
          <w:bCs/>
          <w:b/>
        </w:rPr>
        <w:t xml:space="preserve">Budget Constraints:</w:t>
      </w:r>
      <w:r>
        <w:t xml:space="preserve">-Maintaining high-tech systems requires ongoing funding. We propose a public-private partnership model where technology firms sponsor equipment in exchange for branding rights, ensuring the sustainability of the</w:t>
      </w:r>
    </w:p>
    <w:p>
      <w:pPr>
        <w:numPr>
          <w:ilvl w:val="0"/>
          <w:numId w:val="1000"/>
        </w:numPr>
        <w:pStyle w:val="Compact"/>
      </w:pPr>
      <w:r>
        <w:t xml:space="preserve">Librarian-services.</w:t>
      </w:r>
    </w:p>
    <w:p>
      <w:pPr>
        <w:numPr>
          <w:ilvl w:val="0"/>
          <w:numId w:val="1004"/>
        </w:numPr>
        <w:pStyle w:val="Compact"/>
      </w:pPr>
      <w:r>
        <w:rPr>
          <w:bCs/>
          <w:b/>
        </w:rPr>
        <w:t xml:space="preserve">Cultural Resistance:</w:t>
      </w:r>
      <w:r>
        <w:t xml:space="preserve">-Some older patrons may resist digital tools. The</w:t>
      </w:r>
    </w:p>
    <w:p>
      <w:pPr>
        <w:numPr>
          <w:ilvl w:val="0"/>
          <w:numId w:val="1000"/>
        </w:numPr>
        <w:pStyle w:val="Compact"/>
      </w:pPr>
      <w:r>
        <w:t xml:space="preserve">Librarian-staff must be trained to provide patient, personalized support to ensure no demographic is left behind in the transition.</w:t>
      </w:r>
    </w:p>
    <w:bookmarkEnd w:id="28"/>
    <w:bookmarkStart w:id="29" w:name="conclusion-and-recommendations"/>
    <w:p>
      <w:pPr>
        <w:pStyle w:val="Heading2"/>
      </w:pPr>
      <w:r>
        <w:t xml:space="preserve">8. Conclusion and Recommendations</w:t>
      </w:r>
    </w:p>
    <w:p>
      <w:pPr>
        <w:pStyle w:val="FirstParagraph"/>
      </w:pPr>
      <w:r>
        <w:t xml:space="preserve">In conclusion, this</w:t>
      </w:r>
      <w:r>
        <w:t xml:space="preserve"> </w:t>
      </w:r>
      <w:r>
        <w:rPr>
          <w:bCs/>
          <w:b/>
        </w:rPr>
        <w:t xml:space="preserve">Project Report</w:t>
      </w:r>
    </w:p>
    <w:p>
      <w:pPr>
        <w:pStyle w:val="BodyText"/>
      </w:pPr>
      <w:r>
        <w:t xml:space="preserve">-emphasizes that the future of libraries in</w:t>
      </w:r>
    </w:p>
    <w:p>
      <w:pPr>
        <w:pStyle w:val="BodyText"/>
      </w:pPr>
      <w:r>
        <w:t xml:space="preserve">Indonesia Jakarta-lies not just in books, but in people. The</w:t>
      </w:r>
    </w:p>
    <w:p>
      <w:pPr>
        <w:pStyle w:val="BodyText"/>
      </w:pPr>
      <w:r>
        <w:t xml:space="preserve">Librarian-is the cornerstone of this transformation. By investing in their training and empowering them with modern tools, we can create a library system that is responsive, inclusive, and vital to the development of</w:t>
      </w:r>
    </w:p>
    <w:p>
      <w:pPr>
        <w:pStyle w:val="BodyText"/>
      </w:pPr>
      <w:r>
        <w:t xml:space="preserve">Indonesia Jakarta.</w:t>
      </w:r>
    </w:p>
    <w:p>
      <w:pPr>
        <w:pStyle w:val="BodyText"/>
      </w:pPr>
      <w:r>
        <w:t xml:space="preserve">We strongly recommend the immediate approval of Phase 1 funding to begin architectural assessments and initial recruitment drives for specialized</w:t>
      </w:r>
    </w:p>
    <w:p>
      <w:pPr>
        <w:pStyle w:val="BodyText"/>
      </w:pPr>
      <w:r>
        <w:t xml:space="preserve">Librarian-candidates. The time to act is now, before the gap between digital expectations and public service provision widens further in our bustling capital.</w:t>
      </w:r>
    </w:p>
    <w:bookmarkEnd w:id="29"/>
    <w:bookmarkStart w:id="30" w:name="references-and-appendices"/>
    <w:p>
      <w:pPr>
        <w:pStyle w:val="Heading2"/>
      </w:pPr>
      <w:r>
        <w:t xml:space="preserve">9. References and Appendices</w:t>
      </w:r>
    </w:p>
    <w:p>
      <w:pPr>
        <w:pStyle w:val="FirstParagraph"/>
      </w:pPr>
      <w:r>
        <w:rPr>
          <w:bCs/>
          <w:b/>
        </w:rPr>
        <w:t xml:space="preserve">Appendix A:</w:t>
      </w:r>
      <w:r>
        <w:t xml:space="preserve">Detailed Budget Breakdown for Jakarta Metropolitan Libraries.</w:t>
      </w:r>
      <w:r>
        <w:br/>
      </w:r>
      <w:r>
        <w:rPr>
          <w:bCs/>
          <w:b/>
        </w:rPr>
        <w:t xml:space="preserve">Appendix B:</w:t>
      </w:r>
      <w:r>
        <w:t xml:space="preserve">Curriculum Outline for Advanced Librarian Certification.</w:t>
      </w:r>
      <w:r>
        <w:br/>
      </w:r>
      <w:r>
        <w:rPr>
          <w:bCs/>
          <w:b/>
        </w:rPr>
        <w:t xml:space="preserve">References:</w:t>
      </w:r>
      <w:r>
        <w:t xml:space="preserve">National Library of Indonesia Annual Statistics; World Bank Urban Development Reports on Indonesia.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Digital Librarian Systems in Indonesia Jakarta</dc:title>
  <dc:creator/>
  <cp:keywords/>
  <dcterms:created xsi:type="dcterms:W3CDTF">2026-07-29T13:59:26Z</dcterms:created>
  <dcterms:modified xsi:type="dcterms:W3CDTF">2026-07-29T13:59:26Z</dcterms:modified>
</cp:coreProperties>
</file>

<file path=docProps/custom.xml><?xml version="1.0" encoding="utf-8"?>
<Properties xmlns="http://schemas.openxmlformats.org/officeDocument/2006/custom-properties" xmlns:vt="http://schemas.openxmlformats.org/officeDocument/2006/docPropsVTypes"/>
</file>