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Position</w:t>
      </w:r>
      <w:r>
        <w:t xml:space="preserve"> </w:t>
      </w:r>
      <w:r>
        <w:t xml:space="preserve">Analysis</w:t>
      </w:r>
      <w:r>
        <w:t xml:space="preserve"> </w:t>
      </w:r>
      <w:r>
        <w:t xml:space="preserve">for</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2" w:name="X65ab17fe60f22b2bb8becf8b6a9715c22c7d26b"/>
    <w:p>
      <w:pPr>
        <w:pStyle w:val="Heading1"/>
      </w:pPr>
      <w:r>
        <w:t xml:space="preserve">Project Report: Strategic Analysis of the Librarian Role in New Zealand Auckland</w:t>
      </w:r>
    </w:p>
    <w:p>
      <w:pPr>
        <w:pStyle w:val="FirstParagraph"/>
      </w:pPr>
      <w:r>
        <w:rPr>
          <w:bCs/>
          <w:b/>
        </w:rPr>
        <w:t xml:space="preserve">Date:</w:t>
      </w:r>
    </w:p>
    <w:p>
      <w:pPr>
        <w:pStyle w:val="BodyText"/>
      </w:pPr>
      <w:r>
        <w:t xml:space="preserve">October 24, 2023</w:t>
      </w:r>
      <w:r>
        <w:br/>
      </w:r>
      <w:r>
        <w:rPr>
          <w:bCs/>
          <w:b/>
        </w:rPr>
        <w:t xml:space="preserve">Strategic Human Resources &amp; Urban Development Division</w:t>
      </w:r>
    </w:p>
    <w:bookmarkStart w:id="20" w:name="executive-summary"/>
    <w:p>
      <w:pPr>
        <w:pStyle w:val="Heading2"/>
      </w:pPr>
      <w:r>
        <w:t xml:space="preserve">1. Executive Summary</w:t>
      </w:r>
    </w:p>
    <w:p>
      <w:pPr>
        <w:pStyle w:val="FirstParagraph"/>
      </w:pPr>
      <w:r>
        <w:t xml:space="preserve">This</w:t>
      </w:r>
      <w:r>
        <w:t xml:space="preserve"> </w:t>
      </w:r>
      <w:r>
        <w:t xml:space="preserve">. As one of New Zealand's most dynamic cities, Auckland has established itself as a hub for innovation, diversity, and community engagement. Within this urban landscape libraries function not merely as repositories for books but as vital community hubs that foster literacy, digital inclusion, and social cohesion.</w:t>
      </w:r>
    </w:p>
    <w:p>
      <w:pPr>
        <w:pStyle w:val="BodyText"/>
      </w:pPr>
      <w:r>
        <w:t xml:space="preserve">The primary objective of this is to outline the modern mandate of a</w:t>
      </w:r>
      <w:r>
        <w:t xml:space="preserve"> </w:t>
      </w:r>
    </w:p>
    <w:bookmarkEnd w:id="20"/>
    <w:bookmarkStart w:id="21" w:name="Xaad48031bec2598e7484d9113487283345a5876"/>
    <w:p>
      <w:pPr>
        <w:pStyle w:val="Heading2"/>
      </w:pPr>
      <w:r>
        <w:t xml:space="preserve">2. Introduction to Libraries in New Zealand Auckland</w:t>
      </w:r>
    </w:p>
    <w:p>
      <w:pPr>
        <w:pStyle w:val="FirstParagraph"/>
      </w:pPr>
      <w:r>
        <w:t xml:space="preserve">New Zealand has a robust public library system governed by the Public Libraries Act 1940. However, the context of</w:t>
      </w:r>
      <w:r>
        <w:t xml:space="preserve"> </w:t>
      </w:r>
    </w:p>
    <w:p>
      <w:pPr>
        <w:numPr>
          <w:ilvl w:val="0"/>
          <w:numId w:val="1001"/>
        </w:numPr>
        <w:pStyle w:val="Compact"/>
      </w:pPr>
      <w:r>
        <w:rPr>
          <w:bCs/>
          <w:b/>
        </w:rPr>
        <w:t xml:space="preserve">The City of Sails:</w:t>
      </w:r>
      <w:r>
        <w:t xml:space="preserve"> </w:t>
      </w:r>
      <w:r>
        <w:t xml:space="preserve">Auckland is home to a diverse population with significant Pacific Islander, Māori, Asian, and European communities.</w:t>
      </w:r>
    </w:p>
    <w:p>
      <w:pPr>
        <w:numPr>
          <w:ilvl w:val="0"/>
          <w:numId w:val="1001"/>
        </w:numPr>
        <w:pStyle w:val="Compact"/>
      </w:pPr>
      <w:r>
        <w:rPr>
          <w:bCs/>
          <w:b/>
        </w:rPr>
        <w:t xml:space="preserve">Digital Hub:</w:t>
      </w:r>
      <w:r>
        <w:t xml:space="preserve">Auckland has a high rate of internet penetration but faces issues with digital literacy among elderly and low-income populations.</w:t>
      </w:r>
    </w:p>
    <w:p>
      <w:pPr>
        <w:numPr>
          <w:ilvl w:val="0"/>
          <w:numId w:val="1001"/>
        </w:numPr>
        <w:pStyle w:val="Compact"/>
      </w:pPr>
      <w:r>
        <w:rPr>
          <w:bCs/>
          <w:b/>
        </w:rPr>
        <w:t xml:space="preserve">Tourism Centre:</w:t>
      </w:r>
      <w:r>
        <w:t xml:space="preserve"> </w:t>
      </w:r>
      <w:r>
        <w:t xml:space="preserve">As a primary tourist destination, libraries serve as information points for both residents and visitors.</w:t>
      </w:r>
    </w:p>
    <w:p>
      <w:pPr>
        <w:pStyle w:val="FirstParagraph"/>
      </w:pPr>
      <w:r>
        <w:t xml:space="preserve">In this specific context, the role of the</w:t>
      </w:r>
      <w:r>
        <w:t xml:space="preserve"> </w:t>
      </w:r>
    </w:p>
    <w:bookmarkEnd w:id="21"/>
    <w:bookmarkStart w:id="25" w:name="the-evolving-role-of-the-librarian"/>
    <w:p>
      <w:pPr>
        <w:pStyle w:val="Heading2"/>
      </w:pPr>
      <w:r>
        <w:t xml:space="preserve">3. The Evolving Role of the Librarian</w:t>
      </w:r>
    </w:p>
    <w:p>
      <w:pPr>
        <w:pStyle w:val="FirstParagraph"/>
      </w:pPr>
      <w:r>
        <w:t xml:space="preserve">This highlights that the modern</w:t>
      </w:r>
      <w:r>
        <w:t xml:space="preserve"> </w:t>
      </w:r>
    </w:p>
    <w:bookmarkStart w:id="22" w:name="X337ec4ef56dc651ecd39b1415c1864b2bf87d29"/>
    <w:p>
      <w:pPr>
        <w:pStyle w:val="Heading3"/>
      </w:pPr>
      <w:r>
        <w:t xml:space="preserve">3.1 Information Navigation and Digital Literacy</w:t>
      </w:r>
    </w:p>
    <w:p>
      <w:pPr>
        <w:pStyle w:val="FirstParagraph"/>
      </w:pPr>
      <w:r>
        <w:t xml:space="preserve">In an era of information overload, the</w:t>
      </w:r>
      <w:r>
        <w:t xml:space="preserve"> </w:t>
      </w:r>
      <w:r>
        <w:t xml:space="preserve"> </w:t>
      </w:r>
      <w:r>
        <w:t xml:space="preserve">This includes teaching users how to navigate government services (such as IRD and ACC websites), use social media for professional networking,and identify misinformation. This function is critical in reducing the digital divide within</w:t>
      </w:r>
    </w:p>
    <w:p>
      <w:pPr>
        <w:pStyle w:val="BodyText"/>
      </w:pPr>
      <w:r>
        <w:t xml:space="preserve">.</w:t>
      </w:r>
    </w:p>
    <w:bookmarkEnd w:id="22"/>
    <w:bookmarkStart w:id="23" w:name="cultural-competency-and-inclusion"/>
    <w:p>
      <w:pPr>
        <w:pStyle w:val="Heading3"/>
      </w:pPr>
      <w:r>
        <w:t xml:space="preserve">3.2 Cultural Competency and Inclusion</w:t>
      </w:r>
    </w:p>
    <w:p>
      <w:pPr>
        <w:pStyle w:val="FirstParagraph"/>
      </w:pPr>
      <w:r>
        <w:t xml:space="preserve">Auckland’s demographic diversity requires librarians to possess high levels of cultural competency. The</w:t>
      </w:r>
    </w:p>
    <w:p>
      <w:pPr>
        <w:pStyle w:val="BodyText"/>
      </w:pPr>
      <w:r>
        <w:t xml:space="preserve">This involves curating collections that reflect the diverse heritage of Auckland, including Te Ao Māori (the Māori world) and Pacific narratives. Librarians often collaborate with local iwi (tribes) and cultural organizations to ensure that library services are inclusive and respectful. This aspect is particularly unique to</w:t>
      </w:r>
    </w:p>
    <w:p>
      <w:pPr>
        <w:pStyle w:val="BodyText"/>
      </w:pPr>
      <w:r>
        <w:t xml:space="preserve">, where biculturalism is a foundational principle of public service.</w:t>
      </w:r>
    </w:p>
    <w:bookmarkEnd w:id="23"/>
    <w:bookmarkStart w:id="24" w:name="community-hub-management"/>
    <w:p>
      <w:pPr>
        <w:pStyle w:val="Heading3"/>
      </w:pPr>
      <w:r>
        <w:t xml:space="preserve">3.3 Community Hub Management</w:t>
      </w:r>
    </w:p>
    <w:p>
      <w:pPr>
        <w:pStyle w:val="FirstParagraph"/>
      </w:pPr>
      <w:r>
        <w:t xml:space="preserve">Libraries in Auckland have become "third places" – social surroundings separate from the two usual social environments of home and the workplace. The</w:t>
      </w:r>
      <w:r>
        <w:t xml:space="preserve"> </w:t>
      </w:r>
    </w:p>
    <w:bookmarkEnd w:id="24"/>
    <w:bookmarkEnd w:id="25"/>
    <w:bookmarkStart w:id="26" w:name="X2ace41a64655ccf2578d7a5438f65066e96e2a2"/>
    <w:p>
      <w:pPr>
        <w:pStyle w:val="Heading2"/>
      </w:pPr>
      <w:r>
        <w:t xml:space="preserve">4. Challenges Facing Librarians in New Zealand Auckland</w:t>
      </w:r>
    </w:p>
    <w:p>
      <w:pPr>
        <w:pStyle w:val="FirstParagraph"/>
      </w:pPr>
      <w:r>
        <w:t xml:space="preserve">This</w:t>
      </w:r>
      <w:r>
        <w:t xml:space="preserve"> </w:t>
      </w:r>
      <w:r>
        <w:t xml:space="preserve"> </w:t>
      </w:r>
      <w:r>
        <w:t xml:space="preserve">acknowledges several challenges that impact the effectiveness of librarians in this region:</w:t>
      </w:r>
    </w:p>
    <w:p>
      <w:pPr>
        <w:numPr>
          <w:ilvl w:val="0"/>
          <w:numId w:val="1002"/>
        </w:numPr>
        <w:pStyle w:val="Compact"/>
      </w:pPr>
      <w:r>
        <w:rPr>
          <w:bCs/>
          <w:b/>
        </w:rPr>
        <w:t xml:space="preserve">Funding Constraints:</w:t>
      </w:r>
      <w:r>
        <w:t xml:space="preserve"> </w:t>
      </w:r>
      <w:r>
        <w:t xml:space="preserve">Municipal budgets are often tight. This can lead to reduced hours or fewer staff, putting pressure on remaining</w:t>
      </w:r>
    </w:p>
    <w:p>
      <w:pPr>
        <w:numPr>
          <w:ilvl w:val="0"/>
          <w:numId w:val="1000"/>
        </w:numPr>
        <w:pStyle w:val="Compact"/>
      </w:pPr>
      <w:r>
        <w:t xml:space="preserve">.</w:t>
      </w:r>
    </w:p>
    <w:p>
      <w:pPr>
        <w:numPr>
          <w:ilvl w:val="0"/>
          <w:numId w:val="1002"/>
        </w:numPr>
        <w:pStyle w:val="Compact"/>
      </w:pPr>
      <w:r>
        <w:t xml:space="preserve">Rapid Urban Growth: Auckland’s population is growing faster than many other cities in New Zealand. This increases demand for space and services without a proportional increase in resources.</w:t>
      </w:r>
    </w:p>
    <w:p>
      <w:pPr>
        <w:numPr>
          <w:ilvl w:val="0"/>
          <w:numId w:val="1002"/>
        </w:numPr>
        <w:pStyle w:val="Compact"/>
      </w:pPr>
      <w:r>
        <w:rPr>
          <w:bCs/>
          <w:b/>
        </w:rPr>
        <w:t xml:space="preserve">Digital Transformation Costs:</w:t>
      </w:r>
      <w:r>
        <w:t xml:space="preserve"> </w:t>
      </w:r>
      <w:r>
        <w:t xml:space="preserve">Keeping up with the latest technology, including 3D printers, VR equipment, and high-speed internet infrastructure requires significant ongoing investment.</w:t>
      </w:r>
    </w:p>
    <w:bookmarkEnd w:id="26"/>
    <w:bookmarkStart w:id="30" w:name="strategic-recommendations"/>
    <w:p>
      <w:pPr>
        <w:pStyle w:val="Heading2"/>
      </w:pPr>
      <w:r>
        <w:t xml:space="preserve">5. Strategic Recommendations</w:t>
      </w:r>
    </w:p>
    <w:p>
      <w:pPr>
        <w:pStyle w:val="FirstParagraph"/>
      </w:pPr>
      <w:r>
        <w:t xml:space="preserve">To address these challenges and enhance the impact of librarianship in</w:t>
      </w:r>
      <w:r>
        <w:t xml:space="preserve"> </w:t>
      </w:r>
      <w:r>
        <w:rPr>
          <w:bCs/>
          <w:b/>
        </w:rPr>
        <w:t xml:space="preserve">, this</w:t>
      </w:r>
    </w:p>
    <w:bookmarkStart w:id="27" w:name="X1383c6cb5e11ac08e53c0094ac43fec116c0a6e"/>
    <w:p>
      <w:pPr>
        <w:pStyle w:val="Heading3"/>
      </w:pPr>
      <w:r>
        <w:t xml:space="preserve">5.1 Increase Investment in Professional Development</w:t>
      </w:r>
    </w:p>
    <w:p>
      <w:pPr>
        <w:pStyle w:val="FirstParagraph"/>
      </w:pPr>
      <w:r>
        <w:t xml:space="preserve">Auckland Council should prioritize funding for continuous professional development for</w:t>
      </w:r>
    </w:p>
    <w:p>
      <w:pPr>
        <w:pStyle w:val="BodyText"/>
      </w:pPr>
      <w:r>
        <w:t xml:space="preserve">. Training should focus on digital skills, trauma-informed care, and advanced cultural competency to better serve Auckland’s diverse population.</w:t>
      </w:r>
    </w:p>
    <w:bookmarkEnd w:id="27"/>
    <w:bookmarkStart w:id="28" w:name="enhance-community-partnerships"/>
    <w:p>
      <w:pPr>
        <w:pStyle w:val="Heading3"/>
      </w:pPr>
      <w:r>
        <w:t xml:space="preserve">5.2 Enhance Community Partnerships</w:t>
      </w:r>
    </w:p>
    <w:p>
      <w:pPr>
        <w:pStyle w:val="FirstParagraph"/>
      </w:pPr>
      <w:r>
        <w:t xml:space="preserve">should be encouraged to form stronger partnerships with schools, universities, businesses, and NGOs. These collaborations can expand the reach of library services and create synergies that benefit the broader community.</w:t>
      </w:r>
    </w:p>
    <w:bookmarkEnd w:id="28"/>
    <w:bookmarkStart w:id="29" w:name="promote-library-advocacy"/>
    <w:p>
      <w:pPr>
        <w:pStyle w:val="Heading3"/>
      </w:pPr>
      <w:r>
        <w:t xml:space="preserve">5.3 Promote Library Advocacy</w:t>
      </w:r>
    </w:p>
    <w:p>
      <w:pPr>
        <w:pStyle w:val="FirstParagraph"/>
      </w:pPr>
      <w:r>
        <w:t xml:space="preserve">This</w:t>
      </w:r>
    </w:p>
    <w:bookmarkEnd w:id="29"/>
    <w:bookmarkEnd w:id="30"/>
    <w:bookmarkStart w:id="31" w:name="conclusion"/>
    <w:p>
      <w:pPr>
        <w:pStyle w:val="Heading2"/>
      </w:pPr>
      <w:r>
        <w:t xml:space="preserve">6. Conclusion</w:t>
      </w:r>
    </w:p>
    <w:p>
      <w:pPr>
        <w:pStyle w:val="FirstParagraph"/>
      </w:pPr>
      <w:r>
        <w:t xml:space="preserve">In conclusion, this and nurture community spirit.</w:t>
      </w:r>
    </w:p>
    <w:p>
      <w:pPr>
        <w:pStyle w:val="BodyText"/>
      </w:pPr>
      <w:r>
        <w:t xml:space="preserve">The unique context of</w:t>
      </w:r>
    </w:p>
    <w:p>
      <w:pPr>
        <w:pStyle w:val="BodyText"/>
      </w:pPr>
      <w:r>
        <w:t xml:space="preserve">and advocacy to ensure that librarians can continue to thrive and serve their communities effectively.</w:t>
      </w:r>
    </w:p>
    <w:p>
      <w:pPr>
        <w:pStyle w:val="BodyText"/>
      </w:pPr>
      <w:r>
        <w:t xml:space="preserve">The success of Auckland’s cultural infrastructure depends on recognizing the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Position Analysis for New Zealand Auckland</dc:title>
  <dc:creator/>
  <dc:language>en</dc:language>
  <cp:keywords/>
  <dcterms:created xsi:type="dcterms:W3CDTF">2026-07-30T13:22:19Z</dcterms:created>
  <dcterms:modified xsi:type="dcterms:W3CDTF">2026-07-30T13:22:19Z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