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Russia</w:t>
      </w:r>
      <w:r>
        <w:t xml:space="preserve"> </w:t>
      </w:r>
      <w:r>
        <w:t xml:space="preserve">Moscow</w:t>
      </w:r>
    </w:p>
    <w:bookmarkStart w:id="31" w:name="project-report"/>
    <w:p>
      <w:pPr>
        <w:pStyle w:val="Heading1"/>
      </w:pPr>
      <w:r>
        <w:t xml:space="preserve">Project Report</w:t>
      </w:r>
    </w:p>
    <w:bookmarkStart w:id="20" w:name="Xc7435fd1e53a2cb0dcffa2afc01323ab176b94d"/>
    <w:p>
      <w:pPr>
        <w:pStyle w:val="Heading2"/>
      </w:pPr>
      <w:r>
        <w:t xml:space="preserve">The Mason Strategic Development Initiative in Russia Moscow</w:t>
      </w:r>
    </w:p>
    <w:p>
      <w:pPr>
        <w:pStyle w:val="FirstParagraph"/>
      </w:pPr>
      <w:r>
        <w:rPr>
          <w:bCs/>
          <w:b/>
        </w:rPr>
        <w:t xml:space="preserve">Date:</w:t>
      </w:r>
      <w:r>
        <w:t xml:space="preserve"> October 26, 2023</w:t>
      </w:r>
      <w:r>
        <w:br/>
      </w:r>
      <w:r>
        <w:rPr>
          <w:bCs/>
          <w:b/>
        </w:rPr>
        <w:t xml:space="preserve">To:</w:t>
      </w:r>
      <w:r>
        <w:t xml:space="preserve"> Steering Committee on International Expansion</w:t>
      </w:r>
      <w:r>
        <w:br/>
      </w:r>
      <w:r>
        <w:rPr>
          <w:bCs/>
          <w:b/>
        </w:rPr>
        <w:t xml:space="preserve">From:</w:t>
      </w:r>
      <w:r>
        <w:t xml:space="preserve"> Project Management Office</w:t>
      </w:r>
      <w:r>
        <w:br/>
      </w:r>
      <w:r>
        <w:rPr>
          <w:bCs/>
          <w:b/>
        </w:rPr>
        <w:t xml:space="preserve">Subject:</w:t>
      </w:r>
      <w:r>
        <w:t xml:space="preserve"> Comprehensive Analysis and Strategic Deployment of the Mason Framework within the Russia Moscow Metropolitan Region</w:t>
      </w:r>
    </w:p>
    <w:bookmarkEnd w:id="20"/>
    <w:bookmarkStart w:id="21" w:name="executive-summary"/>
    <w:p>
      <w:pPr>
        <w:pStyle w:val="Heading2"/>
      </w:pPr>
      <w:r>
        <w:t xml:space="preserve">1. Executive Summary</w:t>
      </w:r>
    </w:p>
    <w:p>
      <w:pPr>
        <w:pStyle w:val="FirstParagraph"/>
      </w:pPr>
      <w:r>
        <w:t xml:space="preserve">This Project Report outlines the strategic integration, operational challenges, and future prospects of implementing the Mason framework within the unique socio-economic landscape of Russia Moscow. The objective of this document is to provide stakeholders with a detailed understanding of how Mason technology and methodologies can be adapted to meet local regulatory standards, cultural expectations, and market demands in one of the most critical hubs in Eastern Europe.</w:t>
      </w:r>
    </w:p>
    <w:p>
      <w:pPr>
        <w:pStyle w:val="BodyText"/>
      </w:pPr>
      <w:r>
        <w:t xml:space="preserve">The scope of this report covers feasibility studies conducted over the last quarter, stakeholder engagement strategies specific to Moscow’s business environment, risk mitigation protocols regarding geopolitical volatility, and a projected timeline for rollout. It is imperative that all parties recognize that while Mason provides a standardized global methodology, its successful application in Russia Moscow requires significant localization efforts.</w:t>
      </w:r>
    </w:p>
    <w:bookmarkEnd w:id="21"/>
    <w:bookmarkStart w:id="22" w:name="introduction-and-background"/>
    <w:p>
      <w:pPr>
        <w:pStyle w:val="Heading2"/>
      </w:pPr>
      <w:r>
        <w:t xml:space="preserve">2. Introduction and Background</w:t>
      </w:r>
    </w:p>
    <w:p>
      <w:pPr>
        <w:pStyle w:val="FirstParagraph"/>
      </w:pPr>
      <w:r>
        <w:t xml:space="preserve">The Mason framework has established itself as a leading solution for sustainable infrastructure and organizational efficiency across multiple continents. However, the transition from Western markets to the Russian Federation presents distinct challenges. Russia Moscow serves not only as the political capital but also as the economic engine of the nation. Consequently, any project involving Mason in this region must navigate complex bureaucratic structures and high-performance expectations.</w:t>
      </w:r>
    </w:p>
    <w:p>
      <w:pPr>
        <w:pStyle w:val="BodyText"/>
      </w:pPr>
      <w:r>
        <w:t xml:space="preserve">The primary goal of introducing Mason into Russia Moscow is to enhance operational transparency and resource optimization within local partner entities. By leveraging Mason’s core principles, we aim to create a scalable model that can be replicated across other major Russian cities if successful in the capital region.</w:t>
      </w:r>
    </w:p>
    <w:bookmarkEnd w:id="22"/>
    <w:bookmarkStart w:id="23" w:name="Xcb962f4372f6cc58e4d7221c60eef11deec2a58"/>
    <w:p>
      <w:pPr>
        <w:pStyle w:val="Heading2"/>
      </w:pPr>
      <w:r>
        <w:t xml:space="preserve">3. Market Analysis: The Context of Russia Moscow</w:t>
      </w:r>
    </w:p>
    <w:p>
      <w:pPr>
        <w:pStyle w:val="FirstParagraph"/>
      </w:pPr>
      <w:r>
        <w:t xml:space="preserve">To understand the viability of Mason in this region, one must first analyze the specific characteristics of Russia Moscow. The market is characterized by:</w:t>
      </w:r>
    </w:p>
    <w:p>
      <w:pPr>
        <w:numPr>
          <w:ilvl w:val="0"/>
          <w:numId w:val="1001"/>
        </w:numPr>
        <w:pStyle w:val="Compact"/>
      </w:pPr>
      <w:r>
        <w:rPr>
          <w:bCs/>
          <w:b/>
        </w:rPr>
        <w:t xml:space="preserve">Cultural Nuances:</w:t>
      </w:r>
      <w:r>
        <w:t xml:space="preserve"> Business relationships in Russia Moscow are heavily reliant on personal trust and long-term networking. Unlike Western markets where transactional efficiency often drives initial engagements, the Mason project must prioritize relationship-building phases to gain buy-in from local authorities and private partners.</w:t>
      </w:r>
    </w:p>
    <w:p>
      <w:pPr>
        <w:numPr>
          <w:ilvl w:val="0"/>
          <w:numId w:val="1001"/>
        </w:numPr>
        <w:pStyle w:val="Compact"/>
      </w:pPr>
      <w:r>
        <w:rPr>
          <w:bCs/>
          <w:b/>
        </w:rPr>
        <w:t xml:space="preserve">Regulatory Environment:</w:t>
      </w:r>
      <w:r>
        <w:t xml:space="preserve"> Compliance with local Russian Federation laws regarding data sovereignty, labor practices, and infrastructure development is non-negotiable. The Mason framework must be audited to ensure full alignment with these legal requirements before deployment in Russia Moscow.</w:t>
      </w:r>
    </w:p>
    <w:p>
      <w:pPr>
        <w:numPr>
          <w:ilvl w:val="0"/>
          <w:numId w:val="1001"/>
        </w:numPr>
        <w:pStyle w:val="Compact"/>
      </w:pPr>
      <w:r>
        <w:rPr>
          <w:bCs/>
          <w:b/>
        </w:rPr>
        <w:t xml:space="preserve">Economic Volatility:</w:t>
      </w:r>
      <w:r>
        <w:t xml:space="preserve"> The economic climate in Russia Moscow is subject to fluctuation based on global sanctions and domestic policy shifts. Risk assessment models within the Mason project have been stress-tested against various currency fluctuation scenarios to ensure financial resilience.</w:t>
      </w:r>
    </w:p>
    <w:bookmarkEnd w:id="23"/>
    <w:bookmarkStart w:id="27" w:name="strategic-implementation-plan-for-mason"/>
    <w:p>
      <w:pPr>
        <w:pStyle w:val="Heading2"/>
      </w:pPr>
      <w:r>
        <w:t xml:space="preserve">4. Strategic Implementation Plan for Mason</w:t>
      </w:r>
    </w:p>
    <w:p>
      <w:pPr>
        <w:pStyle w:val="FirstParagraph"/>
      </w:pPr>
      <w:r>
        <w:t xml:space="preserve">The deployment of Mason in Russia Moscow will occur in three distinct phases, each designed to mitigate risk and maximize impact.</w:t>
      </w:r>
    </w:p>
    <w:bookmarkStart w:id="24" w:name="phase-1-pilot-program-initiation"/>
    <w:p>
      <w:pPr>
        <w:pStyle w:val="Heading3"/>
      </w:pPr>
      <w:r>
        <w:t xml:space="preserve"> Phase 1: Pilot Program Initiation</w:t>
      </w:r>
    </w:p>
    <w:p>
      <w:pPr>
        <w:pStyle w:val="FirstParagraph"/>
      </w:pPr>
      <w:r>
        <w:t xml:space="preserve">In this initial stage, we will deploy a small-scale version of the Mason system within a controlled environment in central Moscow. This pilot aims to test the adaptability of Mason tools to local IT infrastructure and workflow habits. Key performance indicators (KPIs) will focus on user adoption rates and error reduction metrics.</w:t>
      </w:r>
    </w:p>
    <w:bookmarkEnd w:id="24"/>
    <w:bookmarkStart w:id="25" w:name="phase-2-stakeholder-integration"/>
    <w:p>
      <w:pPr>
        <w:pStyle w:val="Heading3"/>
      </w:pPr>
      <w:r>
        <w:t xml:space="preserve"> Phase 2: Stakeholder Integration</w:t>
      </w:r>
    </w:p>
    <w:p>
      <w:pPr>
        <w:pStyle w:val="FirstParagraph"/>
      </w:pPr>
      <w:r>
        <w:t xml:space="preserve">Once technical stability is confirmed, the focus shifts to human capital. Training programs tailored for Russian professionals will be launched. It is crucial that all Mason documentation and interface elements are fully localized into Russian, not just linguistically but also conceptually, to ensure that the cultural context of Russia Moscow does not alienate end-users.</w:t>
      </w:r>
    </w:p>
    <w:bookmarkEnd w:id="25"/>
    <w:bookmarkStart w:id="26" w:name="phase-3-full-scale-rollout"/>
    <w:p>
      <w:pPr>
        <w:pStyle w:val="Heading3"/>
      </w:pPr>
      <w:r>
        <w:t xml:space="preserve"> Phase 3: Full-Scale Rollout</w:t>
      </w:r>
    </w:p>
    <w:p>
      <w:pPr>
        <w:pStyle w:val="FirstParagraph"/>
      </w:pPr>
      <w:r>
        <w:t xml:space="preserve">The final phase involves expanding the Mason footprint to cover wider sectors within Russia Moscow. This includes integrating with municipal databases and large-scale corporate partners. The success of this phase depends entirely on the effective management of Phase 1 and 2 outcomes.</w:t>
      </w:r>
    </w:p>
    <w:bookmarkEnd w:id="26"/>
    <w:bookmarkEnd w:id="27"/>
    <w:bookmarkStart w:id="28" w:name="risk-assessment-and-mitigation"/>
    <w:p>
      <w:pPr>
        <w:pStyle w:val="Heading2"/>
      </w:pPr>
      <w:r>
        <w:t xml:space="preserve">5. Risk Assessment and Mitigation</w:t>
      </w:r>
    </w:p>
    <w:p>
      <w:pPr>
        <w:pStyle w:val="FirstParagraph"/>
      </w:pPr>
      <w:r>
        <w:t xml:space="preserve">A thorough risk analysis has been conducted for the Mason project in Russia Moscow. The primary risks identified include:</w:t>
      </w:r>
    </w:p>
    <w:p>
      <w:pPr>
        <w:numPr>
          <w:ilvl w:val="0"/>
          <w:numId w:val="1002"/>
        </w:numPr>
        <w:pStyle w:val="Compact"/>
      </w:pPr>
      <w:r>
        <w:rPr>
          <w:bCs/>
          <w:b/>
        </w:rPr>
        <w:t xml:space="preserve">Sanctions and Trade Restrictions:</w:t>
      </w:r>
      <w:r>
        <w:t xml:space="preserve"> Given the geopolitical situation, there is a risk of supply chain disruptions. Mitigation involves sourcing materials and hardware from approved local suppliers within Russia Moscow wherever possible.</w:t>
      </w:r>
    </w:p>
    <w:p>
      <w:pPr>
        <w:numPr>
          <w:ilvl w:val="0"/>
          <w:numId w:val="1002"/>
        </w:numPr>
        <w:pStyle w:val="Compact"/>
      </w:pPr>
      <w:r>
        <w:rPr>
          <w:bCs/>
          <w:b/>
        </w:rPr>
        <w:t xml:space="preserve">Data Security:</w:t>
      </w:r>
      <w:r>
        <w:t xml:space="preserve"> Ensuring that Mason data servers located in or connected to Russia Moscow comply with federal security mandates is critical. We have engaged top-tier cybersecurity firms based in Moscow to audit our systems.</w:t>
      </w:r>
    </w:p>
    <w:p>
      <w:pPr>
        <w:numPr>
          <w:ilvl w:val="0"/>
          <w:numId w:val="1002"/>
        </w:numPr>
        <w:pStyle w:val="Compact"/>
      </w:pPr>
      <w:r>
        <w:rPr>
          <w:bCs/>
          <w:b/>
        </w:rPr>
        <w:t xml:space="preserve">Cultural Resistance:</w:t>
      </w:r>
      <w:r>
        <w:t xml:space="preserve"> There may be resistance from local teams accustomed to legacy systems. Change management strategies, led by bilingual Mason project managers, will be employed to smooth this transition.</w:t>
      </w:r>
    </w:p>
    <w:bookmarkEnd w:id="28"/>
    <w:bookmarkStart w:id="29" w:name="financial-implications"/>
    <w:p>
      <w:pPr>
        <w:pStyle w:val="Heading2"/>
      </w:pPr>
      <w:r>
        <w:t xml:space="preserve">6. Financial Implications</w:t>
      </w:r>
    </w:p>
    <w:p>
      <w:pPr>
        <w:pStyle w:val="FirstParagraph"/>
      </w:pPr>
      <w:r>
        <w:t xml:space="preserve">The budget for the Mason initiative in Russia Moscow has been allocated based on a conservative estimate of costs adjusted for local inflation and currency exchange rates. Initial capital expenditure is projected to be higher than global averages due to the need for extensive localization and compliance auditing. However, long-term operational savings are expected to offset these initial costs within eighteen months of full deployment in Russia Moscow.</w:t>
      </w:r>
    </w:p>
    <w:bookmarkEnd w:id="29"/>
    <w:bookmarkStart w:id="30" w:name="conclusion"/>
    <w:p>
      <w:pPr>
        <w:pStyle w:val="Heading2"/>
      </w:pPr>
      <w:r>
        <w:t xml:space="preserve">7. Conclusion</w:t>
      </w:r>
    </w:p>
    <w:p>
      <w:pPr>
        <w:pStyle w:val="FirstParagraph"/>
      </w:pPr>
      <w:r>
        <w:t xml:space="preserve">The implementation of the Mason framework in Russia Moscow represents a significant opportunity for growth and innovation. While the path is fraught with complexities unique to this region, careful planning, rigorous risk management, and deep respect for local context provide a strong foundation for success. This Project Report affirms that with disciplined execution, Mason can thrive in Russia Moscow, setting a benchmark for international projects in the region.</w:t>
      </w:r>
    </w:p>
    <w:p>
      <w:pPr>
        <w:pStyle w:val="BodyText"/>
      </w:pPr>
      <w:r>
        <w:t xml:space="preserve">We recommend immediate approval of the Phase 1 budget to commence pilot operations within the next quarter. The potential benefits of establishing a robust Mason presence in Russia Moscow outweigh the inherent risks, provided that they are managed with agility and precision.</w:t>
      </w:r>
    </w:p>
    <w:bookmarkEnd w:id="30"/>
    <w:p>
      <w:pPr>
        <w:pStyle w:val="BodyText"/>
      </w:pPr>
      <w:r>
        <w:rPr>
          <w:bCs/>
          <w:b/>
        </w:rPr>
        <w:t xml:space="preserve">© 2023 Project Management Office. All Rights Reserved.</w:t>
      </w:r>
      <w:r>
        <w:br/>
      </w:r>
      <w:r>
        <w:t xml:space="preserve">This document is confidential and intended solely for the use of individuals authorized by the Steering Committee regarding the Mason project in Russia Moscow.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Russia Moscow</dc:title>
  <dc:creator/>
  <dc:language>en</dc:language>
  <cp:keywords/>
  <dcterms:created xsi:type="dcterms:W3CDTF">2026-07-29T14:47:10Z</dcterms:created>
  <dcterms:modified xsi:type="dcterms:W3CDTF">2026-07-29T14:47:10Z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