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Mathematical</w:t>
      </w:r>
      <w:r>
        <w:t xml:space="preserve"> </w:t>
      </w:r>
      <w:r>
        <w:t xml:space="preserve">Talent</w:t>
      </w:r>
      <w:r>
        <w:t xml:space="preserve"> </w:t>
      </w:r>
      <w:r>
        <w:t xml:space="preserve">in</w:t>
      </w:r>
      <w:r>
        <w:t xml:space="preserve"> </w:t>
      </w:r>
      <w:r>
        <w:t xml:space="preserve">Germany</w:t>
      </w:r>
      <w:r>
        <w:t xml:space="preserve"> </w:t>
      </w:r>
      <w:r>
        <w:t xml:space="preserve">Berlin</w:t>
      </w:r>
    </w:p>
    <w:p>
      <w:pPr>
        <w:pStyle w:val="FirstParagraph"/>
      </w:pPr>
      <w:r>
        <w:t xml:space="preserve">Details</w:t>
      </w:r>
    </w:p>
    <w:p>
      <w:pPr>
        <w:pStyle w:val="BodyText"/>
      </w:pPr>
      <w:r>
        <w:t xml:space="preserve">Date</w:t>
      </w:r>
    </w:p>
    <w:p>
      <w:pPr>
        <w:pStyle w:val="BodyText"/>
      </w:pPr>
      <w:r>
        <w:t xml:space="preserve">October 26,2023</w:t>
      </w:r>
    </w:p>
    <w:p>
      <w:pPr>
        <w:pStyle w:val="BodyText"/>
      </w:pPr>
      <w:r>
        <w:t xml:space="preserve">Prepared For</w:t>
      </w:r>
    </w:p>
    <w:p>
      <w:pPr>
        <w:pStyle w:val="BodyText"/>
      </w:pPr>
      <w:r>
        <w:t xml:space="preserve">BERLIN SENATE FOR SCIENCE AND RESEARCH</w:t>
      </w:r>
    </w:p>
    <w:p>
      <w:pPr>
        <w:pStyle w:val="BodyText"/>
      </w:pPr>
      <w:r>
        <w:t xml:space="preserve">PREPARED BY</w:t>
      </w:r>
    </w:p>
    <w:p>
      <w:pPr>
        <w:pStyle w:val="BodyText"/>
      </w:pPr>
      <w:r>
        <w:t xml:space="preserve">&lt; TD STYLE=" BORDER: 1PX SOLID # DDD ; PADDING : 8 PX "&gt;STRATEGIC PLANNING DEPARTMENT</w:t>
      </w:r>
    </w:p>
    <w:bookmarkStart w:id="31" w:name="X345b3558ab8e80af542828b009357e450413e38"/>
    <w:p>
      <w:pPr>
        <w:pStyle w:val="Heading1"/>
      </w:pPr>
      <w:r>
        <w:t xml:space="preserve">Project Report: Strategic Integration of Mathematical Talent in Germany Berlin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Berlin Senate for Science and Research</w:t>
      </w:r>
      <w:r>
        <w:br/>
      </w:r>
    </w:p>
    <w:p>
      <w:pPr>
        <w:pStyle w:val="BodyText"/>
      </w:pPr>
      <w:r>
        <w:t xml:space="preserve">Strategic Planning Department</w:t>
      </w:r>
      <w:r>
        <w:br/>
      </w:r>
      <w:r>
        <w:rPr>
          <w:bCs/>
          <w:b/>
        </w:rPr>
        <w:t xml:space="preserve">Subject:</w:t>
      </w:r>
      <w:r>
        <w:t xml:space="preserve"> </w:t>
      </w:r>
      <w:r>
        <w:t xml:space="preserve">Enhancing the Mathematical Ecosystem in Germany Berlin</w:t>
      </w:r>
    </w:p>
    <w:bookmarkStart w:id="20" w:name="executive-summary"/>
    <w:p>
      <w:pPr>
        <w:pStyle w:val="Heading2"/>
      </w:pPr>
      <w:r>
        <w:t xml:space="preserve">1. Executive Summary</w:t>
      </w:r>
    </w:p>
    <w:p>
      <w:pPr>
        <w:pStyle w:val="FirstParagraph"/>
      </w:pPr>
      <w:r>
        <w:t xml:space="preserve">This project report outlines a comprehensive strategy to attract, retain, and integrate highly skilled mathematicians into the vibrant academic and industrial landscape of Germany Berlin. As global competition for high-level quantitative talent intensifies, it has become imperative for Germany Berlin to position itself as a premier hub for mathematical innovation. The city’s unique cultural heritage combined with its status as the capital of Germany provides a distinct advantage in drawing international expertise.</w:t>
      </w:r>
    </w:p>
    <w:p>
      <w:pPr>
        <w:pStyle w:val="BodyText"/>
      </w:pPr>
      <w:r>
        <w:t xml:space="preserve">The primary objective of this initiative is to strengthen the synergy between theoretical mathematics and applied industry sectors such as fintech, data science, logistics, and artificial intelligence. By focusing on the specific needs of a</w:t>
      </w:r>
      <w:r>
        <w:t xml:space="preserve"> </w:t>
      </w:r>
      <w:r>
        <w:rPr>
          <w:bCs/>
          <w:b/>
        </w:rPr>
        <w:t xml:space="preserve">Mathematician</w:t>
      </w:r>
      <w:r>
        <w:t xml:space="preserve"> </w:t>
      </w:r>
      <w:r>
        <w:t xml:space="preserve">relocating to or working within Germany Berlin, we aim to create an ecosystem that fosters intellectual freedom while providing robust professional development opportunities.</w:t>
      </w:r>
    </w:p>
    <w:bookmarkEnd w:id="20"/>
    <w:bookmarkStart w:id="21" w:name="X1df96dffdc3dcb4fc46bfba590d31a8555a36e9"/>
    <w:p>
      <w:pPr>
        <w:pStyle w:val="Heading2"/>
      </w:pPr>
      <w:r>
        <w:t xml:space="preserve">2. Contextual Background: The Mathematical Legacy in Germany Berlin</w:t>
      </w:r>
    </w:p>
    <w:p>
      <w:pPr>
        <w:pStyle w:val="FirstParagraph"/>
      </w:pPr>
      <w:r>
        <w:t xml:space="preserve">The history of mathematics is deeply intertwined with the history of Berlin. From the classical contributions of David Hilbert, who was based in nearby Potsdam but deeply connected to the Berlin academic circle, to modern advancements in topology and number theory at institutions like the Humboldt University and TU Berlin (Technical University of Dahlem),</w:t>
      </w:r>
      <w:r>
        <w:t xml:space="preserve"> </w:t>
      </w:r>
      <w:r>
        <w:rPr>
          <w:bCs/>
          <w:b/>
        </w:rPr>
        <w:t xml:space="preserve">Germany</w:t>
      </w:r>
      <w:r>
        <w:t xml:space="preserve"> </w:t>
      </w:r>
      <w:r>
        <w:t xml:space="preserve">has long been a cradle of mathematical excellence.</w:t>
      </w:r>
      <w:r>
        <w:t xml:space="preserve"> </w:t>
      </w:r>
      <w:r>
        <w:rPr>
          <w:bCs/>
          <w:b/>
        </w:rPr>
        <w:t xml:space="preserve">Berlin</w:t>
      </w:r>
      <w:r>
        <w:t xml:space="preserve">, as the cultural and political heart of this nation, continues to host world-renowned institutes such as the Weierstrass Institute for Applied Analysis and Stochastics (WIAS) and the Mathematisches Forschungsinstitut Oberwolfach’s Berlin satellite initiatives.</w:t>
      </w:r>
    </w:p>
    <w:p>
      <w:pPr>
        <w:pStyle w:val="BodyText"/>
      </w:pPr>
      <w:r>
        <w:t xml:space="preserve">However, despite this rich heritage, recent trends indicate a gap in retaining top-tier mathematical talent within local industry sectors. Many brilliant minds leave academic environments for industries abroad due to bureaucratic hurdles or lack of interdisciplinary connection points. This report proposes solutions to bridge that gap specifically tailored to the Berlin context.</w:t>
      </w:r>
    </w:p>
    <w:bookmarkEnd w:id="21"/>
    <w:bookmarkStart w:id="22" w:name="X375a7f592c8aeb4a163ab0bc4a0f936fb993491"/>
    <w:p>
      <w:pPr>
        <w:pStyle w:val="Heading2"/>
      </w:pPr>
      <w:r>
        <w:t xml:space="preserve">3. Current Challenges for a Mathematician in Germany Berlin</w:t>
      </w:r>
    </w:p>
    <w:p>
      <w:pPr>
        <w:pStyle w:val="FirstParagraph"/>
      </w:pPr>
      <w:r>
        <w:t xml:space="preserve">To effectively integrate a</w:t>
      </w:r>
      <w:r>
        <w:t xml:space="preserve"> </w:t>
      </w:r>
      <w:r>
        <w:rPr>
          <w:bCs/>
          <w:b/>
        </w:rPr>
        <w:t xml:space="preserve">Mathematician</w:t>
      </w:r>
      <w:r>
        <w:t xml:space="preserve">, we must first understand the current barriers they face when operating within</w:t>
      </w:r>
      <w:r>
        <w:t xml:space="preserve"> </w:t>
      </w:r>
      <w:r>
        <w:rPr>
          <w:bCs/>
          <w:b/>
        </w:rPr>
        <w:t xml:space="preserve">Germany Berlin</w:t>
      </w:r>
      <w:r>
        <w:t xml:space="preserve">:</w:t>
      </w:r>
    </w:p>
    <w:p>
      <w:pPr>
        <w:numPr>
          <w:ilvl w:val="0"/>
          <w:numId w:val="1001"/>
        </w:numPr>
        <w:pStyle w:val="Compact"/>
      </w:pPr>
      <w:r>
        <w:rPr>
          <w:bCs/>
          <w:b/>
        </w:rPr>
        <w:t xml:space="preserve">Bureaucratic Complexities:</w:t>
      </w:r>
      <w:r>
        <w:t xml:space="preserve"> </w:t>
      </w:r>
      <w:r>
        <w:t xml:space="preserve">Visa processes for non-EU nationals, while improving, remain a significant hurdle. The residence permit system often lacks the flexibility needed for short-term research collaborations or project-based contracts common in modern mathematical consulting.</w:t>
      </w:r>
    </w:p>
    <w:p>
      <w:pPr>
        <w:numPr>
          <w:ilvl w:val="0"/>
          <w:numId w:val="1001"/>
        </w:numPr>
        <w:pStyle w:val="Compact"/>
      </w:pPr>
      <w:r>
        <w:rPr>
          <w:bCs/>
          <w:b/>
        </w:rPr>
        <w:t xml:space="preserve">Linguistic and Cultural Integration:</w:t>
      </w:r>
      <w:r>
        <w:t xml:space="preserve"> </w:t>
      </w:r>
      <w:r>
        <w:t xml:space="preserve">While academic circles operate largely in English, daily life and lower-level administrative interactions often require German proficiency. This creates a social isolation barrier for early-career</w:t>
      </w:r>
      <w:r>
        <w:t xml:space="preserve"> </w:t>
      </w:r>
      <w:r>
        <w:rPr>
          <w:bCs/>
          <w:b/>
        </w:rPr>
        <w:t xml:space="preserve">Mathematician</w:t>
      </w:r>
      <w:r>
        <w:t xml:space="preserve"> </w:t>
      </w:r>
      <w:r>
        <w:t xml:space="preserve">professionals moving to</w:t>
      </w:r>
      <w:r>
        <w:t xml:space="preserve"> </w:t>
      </w:r>
      <w:r>
        <w:rPr>
          <w:bCs/>
          <w:b/>
        </w:rPr>
        <w:t xml:space="preserve">Berlin</w:t>
      </w:r>
      <w:r>
        <w:t xml:space="preserve">.</w:t>
      </w:r>
    </w:p>
    <w:p>
      <w:pPr>
        <w:numPr>
          <w:ilvl w:val="0"/>
          <w:numId w:val="1001"/>
        </w:numPr>
        <w:pStyle w:val="Compact"/>
      </w:pPr>
      <w:r>
        <w:rPr>
          <w:bCs/>
          <w:b/>
        </w:rPr>
        <w:t xml:space="preserve">Industry-Academia Disconnect:</w:t>
      </w:r>
      <w:r>
        <w:t xml:space="preserve"> </w:t>
      </w:r>
      <w:r>
        <w:t xml:space="preserve">There is a noticeable lack of structured platforms where theoretical researchers can easily translate their work into practical solutions for Berlin’s booming startup ecosystem and established corporate giants like SAP or Siemens.</w:t>
      </w:r>
    </w:p>
    <w:p>
      <w:pPr>
        <w:numPr>
          <w:ilvl w:val="0"/>
          <w:numId w:val="1001"/>
        </w:numPr>
        <w:pStyle w:val="Compact"/>
      </w:pPr>
      <w:r>
        <w:t xml:space="preserve">Housing Market Pressures: Like many major European capitals, finding affordable housing in Berlin is difficult. This impacts the quality of life for academics and researchers, potentially driving them to cities with more manageable living costs.</w:t>
      </w:r>
    </w:p>
    <w:bookmarkEnd w:id="22"/>
    <w:bookmarkStart w:id="27" w:name="strategic-recommendations"/>
    <w:p>
      <w:pPr>
        <w:pStyle w:val="Heading2"/>
      </w:pPr>
      <w:r>
        <w:t xml:space="preserve">4. Strategic Recommendations</w:t>
      </w:r>
    </w:p>
    <w:p>
      <w:pPr>
        <w:pStyle w:val="FirstParagraph"/>
      </w:pPr>
      <w:r>
        <w:t xml:space="preserve">To address these challenges and solidify</w:t>
      </w:r>
      <w:r>
        <w:t xml:space="preserve"> </w:t>
      </w:r>
      <w:r>
        <w:rPr>
          <w:bCs/>
          <w:b/>
        </w:rPr>
        <w:t xml:space="preserve">Berlin</w:t>
      </w:r>
      <w:r>
        <w:t xml:space="preserve">'s status as a global mathematical hub, the following strategies are recommended for implementation by local authorities and educational institutions:</w:t>
      </w:r>
    </w:p>
    <w:bookmarkStart w:id="23" w:name="X2389499094d14edb14980f3b2ade3529b1b6200"/>
    <w:p>
      <w:pPr>
        <w:pStyle w:val="Heading3"/>
      </w:pPr>
      <w:r>
        <w:t xml:space="preserve">4.1 Specialized Visa Fast-Track for Mathematical Experts</w:t>
      </w:r>
    </w:p>
    <w:p>
      <w:pPr>
        <w:pStyle w:val="FirstParagraph"/>
      </w:pPr>
      <w:r>
        <w:t xml:space="preserve">The German Federal Employment Agency, in coordination with the Berlin Senate, should introduce a specialized "Mathematician Visa" category under the EU Blue Card framework. This would streamline residency permits for individuals holding PhDs in mathematics or equivalent expertise. Given that</w:t>
      </w:r>
      <w:r>
        <w:t xml:space="preserve"> </w:t>
      </w:r>
      <w:r>
        <w:rPr>
          <w:bCs/>
          <w:b/>
        </w:rPr>
        <w:t xml:space="preserve">Germany</w:t>
      </w:r>
      <w:r>
        <w:t xml:space="preserve"> </w:t>
      </w:r>
      <w:r>
        <w:t xml:space="preserve">faces a critical shortage of skilled MINT (Science, Technology, Engineering, and Mathematics) professionals, such targeted immigration policies are not only beneficial but necessary for national economic stability.</w:t>
      </w:r>
    </w:p>
    <w:bookmarkEnd w:id="23"/>
    <w:bookmarkStart w:id="24" w:name="X17e79e350b77d7bc4ba6ee1223b0271259359bd"/>
    <w:p>
      <w:pPr>
        <w:pStyle w:val="Heading3"/>
      </w:pPr>
      <w:r>
        <w:t xml:space="preserve">4.2 Creation of the Berlin Mathematical Innovation Hub</w:t>
      </w:r>
    </w:p>
    <w:p>
      <w:pPr>
        <w:pStyle w:val="FirstParagraph"/>
      </w:pPr>
      <w:r>
        <w:t xml:space="preserve">We propose the establishment of a physical and digital hub in central Berlin designed explicitly to foster collaboration between university professors and industry data scientists. This hub would serve as a meeting point where a</w:t>
      </w:r>
      <w:r>
        <w:t xml:space="preserve"> </w:t>
      </w:r>
      <w:r>
        <w:rPr>
          <w:bCs/>
          <w:b/>
        </w:rPr>
        <w:t xml:space="preserve">Mathematician</w:t>
      </w:r>
      <w:r>
        <w:t xml:space="preserve"> </w:t>
      </w:r>
      <w:r>
        <w:t xml:space="preserve">can present theoretical models to corporate stakeholders without the rigid formalities typical of academic conferences. By lowering the barrier to entry for commercial collaboration, we can drive economic value from pure research.</w:t>
      </w:r>
    </w:p>
    <w:bookmarkEnd w:id="24"/>
    <w:bookmarkStart w:id="25" w:name="language-and-cultural-support-programs"/>
    <w:p>
      <w:pPr>
        <w:pStyle w:val="Heading3"/>
      </w:pPr>
      <w:r>
        <w:t xml:space="preserve">4.3 Language and Cultural Support Programs</w:t>
      </w:r>
    </w:p>
    <w:p>
      <w:pPr>
        <w:pStyle w:val="FirstParagraph"/>
      </w:pPr>
      <w:r>
        <w:t xml:space="preserve">To ease the transition for international talent, funding should be allocated to provide free or subsidized German language courses specifically tailored for academic professionals. Furthermore, mentorship programs pairing new arrivals with established Berlin-based academics can help navigate the cultural nuances of living in</w:t>
      </w:r>
      <w:r>
        <w:t xml:space="preserve"> </w:t>
      </w:r>
      <w:r>
        <w:rPr>
          <w:bCs/>
          <w:b/>
        </w:rPr>
        <w:t xml:space="preserve">Berlin</w:t>
      </w:r>
      <w:r>
        <w:t xml:space="preserve">. These programs should emphasize social integration events that transcend professional networks.</w:t>
      </w:r>
    </w:p>
    <w:bookmarkEnd w:id="25"/>
    <w:bookmarkStart w:id="26" w:name="X5588178472843ab8da61319b2797c39b634f321"/>
    <w:p>
      <w:pPr>
        <w:pStyle w:val="Heading3"/>
      </w:pPr>
      <w:r>
        <w:t xml:space="preserve">4.4 Affordable Housing Quotas for Researchers</w:t>
      </w:r>
    </w:p>
    <w:p>
      <w:pPr>
        <w:pStyle w:val="FirstParagraph"/>
      </w:pPr>
      <w:r>
        <w:t xml:space="preserve">The Berlin housing authority should consider setting aside a percentage of new public and subsidized housing units specifically for university staff, researchers, and PhD candidates. Recognizing the critical role of a stable living environment in productivity is essential for retaining high-level intellectual capital.</w:t>
      </w:r>
    </w:p>
    <w:bookmarkEnd w:id="26"/>
    <w:bookmarkEnd w:id="27"/>
    <w:bookmarkStart w:id="28" w:name="economic-impact-analysis"/>
    <w:p>
      <w:pPr>
        <w:pStyle w:val="Heading2"/>
      </w:pPr>
      <w:r>
        <w:t xml:space="preserve">5. Economic Impact Analysis</w:t>
      </w:r>
    </w:p>
    <w:p>
      <w:pPr>
        <w:pStyle w:val="FirstParagraph"/>
      </w:pPr>
      <w:r>
        <w:t xml:space="preserve">The investment in attracting and supporting a robust population of mathematicians yields significant returns for</w:t>
      </w:r>
      <w:r>
        <w:t xml:space="preserve"> </w:t>
      </w:r>
      <w:r>
        <w:rPr>
          <w:bCs/>
          <w:b/>
        </w:rPr>
        <w:t xml:space="preserve">Germany</w:t>
      </w:r>
      <w:r>
        <w:t xml:space="preserve">. Mathematical modeling is the backbone of modern optimization problems, ranging from traffic flow management in Berlin’s public transport system to algorithmic trading in the financial sector. By creating a supportive environment for these professionals, we directly enhance the competitiveness of local industries.</w:t>
      </w:r>
    </w:p>
    <w:p>
      <w:pPr>
        <w:pStyle w:val="BodyText"/>
      </w:pPr>
      <w:r>
        <w:t xml:space="preserve">Moreover, the presence of a strong mathematical community attracts venture capital. Investors are more likely to fund startups in cities known for strong scientific foundations. Therefore, positioning Berlin as a sanctuary for advanced mathematics is also an economic development strategy.</w:t>
      </w:r>
    </w:p>
    <w:bookmarkEnd w:id="28"/>
    <w:bookmarkStart w:id="29" w:name="implementation-timeline"/>
    <w:p>
      <w:pPr>
        <w:pStyle w:val="Heading2"/>
      </w:pPr>
      <w:r>
        <w:t xml:space="preserve">6. Implementation Timeline</w:t>
      </w:r>
    </w:p>
    <w:p>
      <w:pPr>
        <w:numPr>
          <w:ilvl w:val="0"/>
          <w:numId w:val="1002"/>
        </w:numPr>
        <w:pStyle w:val="Compact"/>
      </w:pPr>
      <w:r>
        <w:rPr>
          <w:bCs/>
          <w:b/>
        </w:rPr>
        <w:t xml:space="preserve">Phase 1 (Months 1-6):</w:t>
      </w:r>
      <w:r>
        <w:t xml:space="preserve"> </w:t>
      </w:r>
      <w:r>
        <w:t xml:space="preserve">Stakeholder consultation with TU Berlin, Humboldt University, and industry representatives. Drafting of the specialized visa guidelines.</w:t>
      </w:r>
    </w:p>
    <w:p>
      <w:pPr>
        <w:numPr>
          <w:ilvl w:val="0"/>
          <w:numId w:val="1002"/>
        </w:numPr>
        <w:pStyle w:val="Compact"/>
      </w:pPr>
      <w:r>
        <w:t xml:space="preserve">Phase 2 (Months7-12) : Launch of the Berlin Mathematical Innovation Hub pilot program. Initiation of language support partnerships with local NGOs.</w:t>
      </w:r>
    </w:p>
    <w:p>
      <w:pPr>
        <w:numPr>
          <w:ilvl w:val="0"/>
          <w:numId w:val="1002"/>
        </w:numPr>
        <w:pStyle w:val="Compact"/>
      </w:pPr>
      <w:r>
        <w:t xml:space="preserve">Phase3 (Months13-24): Full rollout of housing quota initiatives and evaluation of visa fast-track efficiency. Expansion into international recruitment campaigns targeting top mathematics departments globally.</w:t>
      </w:r>
    </w:p>
    <w:bookmarkEnd w:id="29"/>
    <w:bookmarkStart w:id="30" w:name="conclusion"/>
    <w:p>
      <w:pPr>
        <w:pStyle w:val="Heading2"/>
      </w:pPr>
      <w:r>
        <w:t xml:space="preserve">7. Conclusion</w:t>
      </w:r>
    </w:p>
    <w:p>
      <w:pPr>
        <w:pStyle w:val="FirstParagraph"/>
      </w:pPr>
      <w:r>
        <w:t xml:space="preserve">The future of innovation in</w:t>
      </w:r>
      <w:r>
        <w:t xml:space="preserve"> </w:t>
      </w:r>
      <w:r>
        <w:rPr>
          <w:bCs/>
          <w:b/>
        </w:rPr>
        <w:t xml:space="preserve">Berlin</w:t>
      </w:r>
      <w:r>
        <w:t xml:space="preserve">, and by extension in all of Germany, relies heavily on the strength of its scientific infrastructure. Mathematics is no longer just a theoretical discipline; it is a critical utility for modern industry and governance. By addressing the specific needs of the</w:t>
      </w:r>
      <w:r>
        <w:t xml:space="preserve"> </w:t>
      </w:r>
      <w:r>
        <w:rPr>
          <w:bCs/>
          <w:b/>
        </w:rPr>
        <w:t xml:space="preserve">Mathematician</w:t>
      </w:r>
      <w:r>
        <w:t xml:space="preserve"> </w:t>
      </w:r>
      <w:r>
        <w:t xml:space="preserve">through streamlined immigration, enhanced industry connections, and improved quality-of-life measures, Berlin can secure its position as a leading global capital for mathematical research.</w:t>
      </w:r>
    </w:p>
    <w:p>
      <w:pPr>
        <w:pStyle w:val="BodyText"/>
      </w:pPr>
      <w:r>
        <w:t xml:space="preserve">This report serves as a call to action for policymakers in Germany to prioritize the human capital aspect of scientific development. Investing in people is the most effective way to ensure that the legacy of mathematical excellence continues in Berlin for generations to come. We recommend immediate approval of Phase 1 activities as outlined above.</w:t>
      </w:r>
    </w:p>
    <w:p>
      <w:r>
        <w:pict>
          <v:rect style="width:0;height:1.5pt" o:hralign="center" o:hrstd="t" o:hr="t"/>
        </w:pict>
      </w:r>
    </w:p>
    <w:p>
      <w:pPr>
        <w:pStyle w:val="FirstParagraph"/>
      </w:pPr>
      <w:r>
        <w:rPr>
          <w:bCs/>
          <w:b/>
        </w:rPr>
        <w:t xml:space="preserve">Disclaimer:</w:t>
      </w:r>
      <w:r>
        <w:t xml:space="preserve"> </w:t>
      </w:r>
      <w:r>
        <w:t xml:space="preserve">This document is a simulated project report prepared for illustrative purposes regarding strategic planning in academic and industrial sectors within Germany Berlin.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Mathematical Talent in Germany Berlin</dc:title>
  <dc:creator/>
  <dc:language>en</dc:language>
  <cp:keywords/>
  <dcterms:created xsi:type="dcterms:W3CDTF">2026-07-29T16:49:01Z</dcterms:created>
  <dcterms:modified xsi:type="dcterms:W3CDTF">2026-07-29T16:49:01Z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