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Germany</w:t>
      </w:r>
      <w:r>
        <w:t xml:space="preserve"> </w:t>
      </w:r>
      <w:r>
        <w:t xml:space="preserve">Munich</w:t>
      </w:r>
    </w:p>
    <w:bookmarkStart w:id="27" w:name="Xe70e988a3ccd9826db2badd34f9efdba8129c86"/>
    <w:p>
      <w:pPr>
        <w:pStyle w:val="Heading1"/>
      </w:pPr>
      <w:r>
        <w:rPr>
          <w:bCs/>
          <w:b/>
        </w:rPr>
        <w:t xml:space="preserve">Project Report:</w:t>
      </w:r>
      <w:r>
        <w:t xml:space="preserve"> </w:t>
      </w:r>
      <w:r>
        <w:t xml:space="preserve">Strategic Integration and Employment of a</w:t>
      </w:r>
      <w:r>
        <w:t xml:space="preserve"> </w:t>
      </w:r>
      <w:r>
        <w:rPr>
          <w:bCs/>
          <w:b/>
        </w:rPr>
        <w:t xml:space="preserve">Mathematician</w:t>
      </w:r>
      <w:r>
        <w:br/>
      </w:r>
      <w:r>
        <w:rPr>
          <w:iCs/>
          <w:i/>
        </w:rPr>
        <w:t xml:space="preserve">Sector: Advanced Analytics &amp; Actuarial Science in Germany Munich</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Human Resources Department, Global Financial Solutions</w:t>
      </w:r>
      <w:r>
        <w:br/>
      </w:r>
      <w:r>
        <w:rPr>
          <w:bCs/>
          <w:b/>
        </w:rPr>
        <w:t xml:space="preserve">From:</w:t>
      </w:r>
      <w:r>
        <w:t xml:space="preserve"> </w:t>
      </w:r>
      <w:r>
        <w:t xml:space="preserve">Project Management Office (PMO)</w:t>
      </w:r>
      <w:r>
        <w:br/>
      </w:r>
      <w:r>
        <w:t xml:space="preserve">: Recruitment and Onboarding of Senior Mathematician for Munich Operations</w:t>
      </w:r>
    </w:p>
    <w:bookmarkStart w:id="20" w:name="executive-summary"/>
    <w:p>
      <w:pPr>
        <w:pStyle w:val="Heading2"/>
      </w:pPr>
      <w:r>
        <w:t xml:space="preserve">1. Executive Summary</w:t>
      </w:r>
    </w:p>
    <w:p>
      <w:pPr>
        <w:pStyle w:val="FirstParagraph"/>
      </w:pPr>
      <w:r>
        <w:t xml:space="preserve">This document serves as the comprehensive Project Report regarding the recruitment, relocation, and integration of a highly specialized Mathematician into our research and development division located in Germany Munich. The primary objective is to leverage advanced mathematical modeling capabilities to enhance our actuarial risk assessment frameworks within the European market.</w:t>
      </w:r>
    </w:p>
    <w:p>
      <w:pPr>
        <w:pStyle w:val="BodyText"/>
      </w:pPr>
      <w:r>
        <w:t xml:space="preserve">The decision to base this specific role in Germany Munich was driven by the city’s status as a leading hub for finance, technology, and academic excellence in Europe. The candidate identified possesses exceptional expertise in stochastic calculus and machine learning algorithms. This report outlines the strategic justification for selecting Germany Munich as the operational base, details the professional profile of Mathematician required to meet our business needs, and provides a detailed roadmap for successful integration into the local corporate culture.</w:t>
      </w:r>
    </w:p>
    <w:bookmarkEnd w:id="20"/>
    <w:bookmarkStart w:id="21" w:name="X15807293e9d90d8d9870d98f64e1e29f5002ba1"/>
    <w:p>
      <w:pPr>
        <w:pStyle w:val="Heading2"/>
      </w:pPr>
      <w:r>
        <w:t xml:space="preserve">2. Strategic Justification: Why Germany Munich?</w:t>
      </w:r>
    </w:p>
    <w:p>
      <w:pPr>
        <w:pStyle w:val="FirstParagraph"/>
      </w:pPr>
      <w:r>
        <w:t xml:space="preserve">The selection of Germany Munich as the headquarters for this initiative is not arbitrary but based on rigorous economic and academic analysis. The synergy between high-level mathematical research and practical financial application is strongest in this region for several key reasons:</w:t>
      </w:r>
    </w:p>
    <w:p>
      <w:pPr>
        <w:numPr>
          <w:ilvl w:val="0"/>
          <w:numId w:val="1001"/>
        </w:numPr>
        <w:pStyle w:val="Compact"/>
      </w:pPr>
      <w:r>
        <w:rPr>
          <w:bCs/>
          <w:b/>
        </w:rPr>
        <w:t xml:space="preserve">Academic Excellence:</w:t>
      </w:r>
      <w:r>
        <w:t xml:space="preserve"> </w:t>
      </w:r>
      <w:r>
        <w:t xml:space="preserve">Germany Munich is home to prestigious institutions such as the Technical University of Munich (TUM) and Ludwig-Maximilians-Universität. This ensures a continuous pipeline of talent and facilitates potential collaborations with local academia.</w:t>
      </w:r>
    </w:p>
    <w:p>
      <w:pPr>
        <w:numPr>
          <w:ilvl w:val="0"/>
          <w:numId w:val="1001"/>
        </w:numPr>
        <w:pStyle w:val="Compact"/>
      </w:pPr>
      <w:r>
        <w:rPr>
          <w:bCs/>
          <w:b/>
        </w:rPr>
        <w:t xml:space="preserve">Economic Hub:</w:t>
      </w:r>
      <w:r>
        <w:t xml:space="preserve"> </w:t>
      </w:r>
      <w:r>
        <w:t xml:space="preserve">As the financial capital of Bavaria, Germany Munich hosts numerous insurance giants, banks, and fintech startups. This ecosystem provides our Mathematician with unparalleled access to industry networks and real-world data sets.</w:t>
      </w:r>
    </w:p>
    <w:p>
      <w:pPr>
        <w:numPr>
          <w:ilvl w:val="0"/>
          <w:numId w:val="1001"/>
        </w:numPr>
        <w:pStyle w:val="Compact"/>
      </w:pPr>
      <w:r>
        <w:rPr>
          <w:bCs/>
          <w:b/>
        </w:rPr>
        <w:t xml:space="preserve">Innovation Infrastructure:</w:t>
      </w:r>
      <w:r>
        <w:t xml:space="preserve"> </w:t>
      </w:r>
      <w:r>
        <w:t xml:space="preserve">The region offers robust support for R&amp;D through various German federal grants and state-level innovation funds specifically designed to attract mathematical talent in quantitative fields.</w:t>
      </w:r>
    </w:p>
    <w:bookmarkEnd w:id="21"/>
    <w:bookmarkStart w:id="24" w:name="Xb8341ad3932efb087d3d8c9c34f463b7c477da1"/>
    <w:p>
      <w:pPr>
        <w:pStyle w:val="Heading2"/>
      </w:pPr>
      <w:r>
        <w:t xml:space="preserve">3. The Mathematician: Role Definition and Requirements</w:t>
      </w:r>
    </w:p>
    <w:p>
      <w:pPr>
        <w:pStyle w:val="FirstParagraph"/>
      </w:pPr>
      <w:r>
        <w:t xml:space="preserve">The core of this project relies on the acquisition of a specific type of Mathematician. Unlike a general data analyst, this role requires deep theoretical grounding combined with computational proficiency. The ideal candidate profile is defined as follows:</w:t>
      </w:r>
    </w:p>
    <w:bookmarkStart w:id="22" w:name="a.-academic-background"/>
    <w:p>
      <w:pPr>
        <w:pStyle w:val="Heading3"/>
      </w:pPr>
      <w:r>
        <w:rPr>
          <w:bCs/>
          <w:b/>
        </w:rPr>
        <w:t xml:space="preserve">A. Academic Background</w:t>
      </w:r>
    </w:p>
    <w:p>
      <w:pPr>
        <w:pStyle w:val="FirstParagraph"/>
      </w:pPr>
      <w:r>
        <w:t xml:space="preserve">The candidate must hold a Doctorate (Ph.D.) in Mathematics, Statistics, or Applied Physics from a recognized institution. Specialization in Stochastic Processes, Differential Equations, or Topological Data Analysis is preferred.</w:t>
      </w:r>
    </w:p>
    <w:bookmarkEnd w:id="22"/>
    <w:bookmarkStart w:id="23" w:name="b.-technical-competencies"/>
    <w:p>
      <w:pPr>
        <w:pStyle w:val="Heading3"/>
      </w:pPr>
      <w:r>
        <w:rPr>
          <w:bCs/>
          <w:b/>
        </w:rPr>
        <w:t xml:space="preserve">B. Technical Competencies</w:t>
      </w:r>
    </w:p>
    <w:p>
      <w:pPr>
        <w:pStyle w:val="FirstParagraph"/>
      </w:pPr>
      <w:r>
        <w:t xml:space="preserve">To be effective in our projects based in Germany Munich, the Mathematician must demonstrate:</w:t>
      </w:r>
    </w:p>
    <w:p>
      <w:pPr>
        <w:numPr>
          <w:ilvl w:val="0"/>
          <w:numId w:val="1002"/>
        </w:numPr>
        <w:pStyle w:val="Compact"/>
      </w:pPr>
      <w:r>
        <w:t xml:space="preserve">Mastery of Python, R, and C++ for high-performance computing.</w:t>
      </w:r>
    </w:p>
    <w:p>
      <w:pPr>
        <w:numPr>
          <w:ilvl w:val="0"/>
          <w:numId w:val="1002"/>
        </w:numPr>
        <w:pStyle w:val="Compact"/>
      </w:pPr>
      <w:r>
        <w:t xml:space="preserve">Experience with Monte Carlo simulations and Bayesian inference methods.</w:t>
      </w:r>
    </w:p>
    <w:p>
      <w:pPr>
        <w:numPr>
          <w:ilvl w:val="0"/>
          <w:numId w:val="1002"/>
        </w:numPr>
        <w:pStyle w:val="Compact"/>
      </w:pPr>
      <w:r>
        <w:t xml:space="preserve">A proven track record of publishing in peer-reviewed journals regarding risk modeling.</w:t>
      </w:r>
    </w:p>
    <w:p>
      <w:pPr>
        <w:pStyle w:val="FirstParagraph"/>
      </w:pPr>
      <w:r>
        <w:rPr>
          <w:bCs/>
          <w:b/>
        </w:rPr>
        <w:t xml:space="preserve">C. Soft Skills and Cultural Fit</w:t>
      </w:r>
    </w:p>
    <w:p>
      <w:pPr>
        <w:pStyle w:val="BodyText"/>
      </w:pPr>
      <w:r>
        <w:t xml:space="preserve">Beyond technical skills, the Mathematician must possess strong communication abilities to translate complex mathematical concepts for non-technical stakeholders. Adaptability is crucial when moving from an academic environment to a corporate structure in Germany Munich.</w:t>
      </w:r>
    </w:p>
    <w:bookmarkEnd w:id="23"/>
    <w:bookmarkEnd w:id="24"/>
    <w:bookmarkStart w:id="25" w:name="X72ec66c86f36b798c2dfddcb6d130318c3d0c9f"/>
    <w:p>
      <w:pPr>
        <w:pStyle w:val="Heading2"/>
      </w:pPr>
      <w:r>
        <w:t xml:space="preserve">4. Implementation Plan: Relocation and Onboarding</w:t>
      </w:r>
    </w:p>
    <w:p>
      <w:pPr>
        <w:pStyle w:val="FirstParagraph"/>
      </w:pPr>
      <w:r>
        <w:t xml:space="preserve">The transition of the Mathematician to Germany Munich involves several critical phases. The project timeline is structured over six months.</w:t>
      </w:r>
    </w:p>
    <w:p>
      <w:pPr>
        <w:pStyle w:val="BodyText"/>
      </w:pPr>
      <w:r>
        <w:rPr>
          <w:bCs/>
          <w:b/>
        </w:rPr>
        <w:t xml:space="preserve">Phase</w:t>
      </w:r>
    </w:p>
    <w:p>
      <w:pPr>
        <w:pStyle w:val="BodyText"/>
      </w:pPr>
      <w:r>
        <w:rPr>
          <w:bCs/>
          <w:b/>
        </w:rPr>
        <w:t xml:space="preserve">Description</w:t>
      </w:r>
      <w:r>
        <w:t xml:space="preserve"> `&lt;/td&gt;&lt;td&gt;Germany Munich-Specific Actions&lt;/td&gt;&lt;/tr&gt;&lt;/thead&gt;</w:t>
      </w:r>
      <w:r>
        <w:br/>
      </w:r>
      <w:r>
        <w:t xml:space="preserve">&lt;tbody&gt;</w:t>
      </w:r>
      <w:r>
        <w:br/>
      </w:r>
      <w:r>
        <w:t xml:space="preserve">  </w:t>
      </w:r>
    </w:p>
    <w:p>
      <w:pPr>
        <w:pStyle w:val="BodyText"/>
      </w:pPr>
      <w:r>
        <w:br/>
      </w:r>
      <w:r>
        <w:t xml:space="preserve">  &amp;emsp;</w:t>
      </w:r>
    </w:p>
    <w:p>
      <w:pPr>
        <w:pStyle w:val="BodyText"/>
      </w:pPr>
      <w:r>
        <w:t xml:space="preserve">1. Legal &amp; Administrative</w:t>
      </w:r>
    </w:p>
    <w:p>
      <w:pPr>
        <w:pStyle w:val="BodyText"/>
      </w:pPr>
      <w:r>
        <w:t xml:space="preserve">Visa and Work Permit Processing</w:t>
      </w:r>
    </w:p>
    <w:p>
      <w:pPr>
        <w:pStyle w:val="BodyText"/>
      </w:pPr>
      <w:r>
        <w:t xml:space="preserve">Navigating the German residence permit system for highly skilled workers (EU Blue Card). This is particularly streamlined in Germany Munich due to local integration offices.</w:t>
      </w:r>
    </w:p>
    <w:p>
      <w:pPr>
        <w:pStyle w:val="BodyText"/>
      </w:pPr>
      <w:r>
        <w:t xml:space="preserve">`</w:t>
      </w:r>
      <w:r>
        <w:br/>
      </w:r>
      <w:r>
        <w:t xml:space="preserve">  </w:t>
      </w:r>
      <w:r>
        <w:br/>
      </w:r>
      <w:r>
        <w:t xml:space="preserve">`&lt;tr&gt;&lt;th&gt;2. Housing &amp; Logistics&lt;/th&gt;&lt;td&gt;settlement support</w:t>
      </w:r>
    </w:p>
    <w:p>
      <w:pPr>
        <w:pStyle w:val="BodyText"/>
      </w:pPr>
      <w:r>
        <w:t xml:space="preserve">Moving to Germany Munich involves finding housing in one of Europe's most competitive real estate markets. The project report includes a budget for temporary accommodation and assistance from local relocation agencies familiar with the neighborhoods preferred by expatriate professionals.</w:t>
      </w:r>
    </w:p>
    <w:p>
      <w:pPr>
        <w:pStyle w:val="BodyText"/>
      </w:pPr>
      <w:r>
        <w:t xml:space="preserve">`</w:t>
      </w:r>
      <w:r>
        <w:br/>
      </w:r>
      <w:r>
        <w:t xml:space="preserve">  </w:t>
      </w:r>
      <w:r>
        <w:br/>
      </w:r>
      <w:r>
        <w:t xml:space="preserve">`&lt;tr&gt;&lt;th&gt;3. Professional Integration&lt;/th&gt;&lt;td&gt;</w:t>
      </w:r>
    </w:p>
    <w:p>
      <w:pPr>
        <w:pStyle w:val="BodyText"/>
      </w:pPr>
      <w:r>
        <w:t xml:space="preserve">Once settled, the Mathematician will undergo a comprehensive onboarding program. This includes introduction to our proprietary software tools in Germany Munich and mentorship from senior quant analysts. Language courses (German B1/B2) are offered to facilitate deeper integration into the local community, though daily work is conducted in English.</w:t>
      </w:r>
    </w:p>
    <w:p>
      <w:pPr>
        <w:pStyle w:val="BodyText"/>
      </w:pPr>
      <w:r>
        <w:t xml:space="preserve">`</w:t>
      </w:r>
      <w:r>
        <w:br/>
      </w:r>
      <w:r>
        <w:t xml:space="preserve">  </w:t>
      </w:r>
      <w:r>
        <w:br/>
      </w:r>
      <w:r>
        <w:t xml:space="preserve">`&lt;tr&gt;&lt;th&gt;4. Performance Review&lt;/th&gt;&lt;td&gt;</w:t>
      </w:r>
    </w:p>
    <w:p>
      <w:pPr>
        <w:pStyle w:val="BodyText"/>
      </w:pPr>
      <w:r>
        <w:t xml:space="preserve">After six months, a formal review will assess the Mathematician’s contribution to projects specific to the Germany Munich market. Key performance indicators (KPIs) include model accuracy improvements and efficiency gains in computational time.</w:t>
      </w:r>
    </w:p>
    <w:p>
      <w:pPr>
        <w:pStyle w:val="BodyText"/>
      </w:pPr>
      <w:r>
        <w:t xml:space="preserve">`</w:t>
      </w:r>
      <w:r>
        <w:br/>
      </w:r>
      <w:r>
        <w:t xml:space="preserve">  </w:t>
      </w:r>
      <w:r>
        <w:br/>
      </w:r>
      <w:r>
        <w:t xml:space="preserve">`&lt;/tbody&gt;&lt;/table&gt;`</w:t>
      </w:r>
    </w:p>
    <w:bookmarkEnd w:id="25"/>
    <w:bookmarkStart w:id="26" w:name="financial-and-resource-allocation"/>
    <w:p>
      <w:pPr>
        <w:pStyle w:val="Heading2"/>
      </w:pPr>
      <w:r>
        <w:t xml:space="preserve">5. Financial and Resource Allocation</w:t>
      </w:r>
    </w:p>
    <w:p>
      <w:pPr>
        <w:pStyle w:val="FirstParagraph"/>
      </w:pPr>
      <w:r>
        <w:t xml:space="preserve">The budget for this project accounts for the competitive salary required to attract top-tier Mathematician talent in Germany Munich. While the cost of living in Germany Munich is high, particularly regarding housing, the gross salaries offered are aligned with market standards set by major institutions like Allianz and Deutsche Bank.</w:t>
      </w:r>
    </w:p>
    <w:p>
      <w:pPr>
        <w:pStyle w:val="BodyText"/>
      </w:pPr>
      <w:r>
        <w:t xml:space="preserve">Additional costs include:</w:t>
      </w:r>
    </w:p>
    <w:p>
      <w:pPr>
        <w:pStyle w:val="BodyText"/>
      </w:pPr>
      <w:r>
        <w:t xml:space="preserve">`</w:t>
      </w:r>
      <w:r>
        <w:br/>
      </w:r>
      <w:r>
        <w:t xml:space="preserve">  </w:t>
      </w:r>
    </w:p>
    <w:p>
      <w:pPr>
        <w:pStyle w:val="BodyText"/>
      </w:pPr>
      <w:r>
        <w:t xml:space="preserve">`&lt;strong&gt;Relocation Bonus:&lt;/strong&gt; A one-time payment to cover moving expenses.</w:t>
      </w:r>
    </w:p>
    <w:p>
      <w:pPr>
        <w:pStyle w:val="BodyText"/>
      </w:pPr>
      <w:r>
        <w:t xml:space="preserve">&lt;em&gt;&amp;amp;amp;amp;amp;amp&amp;/em&amp;//span&lt;/span&gt;&gt;</w:t>
      </w:r>
    </w:p>
    <w:p>
      <w:pPr>
        <w:pStyle w:val="BodyText"/>
      </w:pPr>
      <w:r>
        <w:t xml:space="preserve">This project report confirms that the strategic placement of a Mathematician in Germany Munich is not only feasible but highly advantageous for our long-term growth. The combination of academic prestige, economic stability, and high quality of life in Germany Munich makes it an ideal location for our mathematical research initiatives. We anticipate that the expertise brought by this Mathematician will significantly elevate our analytical capabilities.</w:t>
      </w:r>
    </w:p>
    <w:p>
      <w:pPr>
        <w:pStyle w:val="BodyText"/>
      </w:pPr>
      <w:r>
        <w:rPr>
          <w:bCs/>
          <w:b/>
        </w:rPr>
        <w:t xml:space="preserve">Recommendation:</w:t>
      </w:r>
      <w:r>
        <w:t xml:space="preserve"> </w:t>
      </w:r>
      <w:r>
        <w:t xml:space="preserve">Proceed immediately with the offer negotiation phase and initiate contact with immigration lawyers specializing in German Blue Card applications to ensure timely relocation of the candidate.</w:t>
      </w:r>
    </w:p>
    <w:p>
      <w:pPr>
        <w:pStyle w:val="BodyText"/>
      </w:pPr>
      <w:r>
        <w:t xml:space="preserve">`</w:t>
      </w:r>
      <w:r>
        <w:br/>
      </w:r>
      <w:r>
        <w:t xml:space="preserve">  </w:t>
      </w:r>
      <w:r>
        <w:br/>
      </w:r>
      <w:r>
        <w:t xml:space="preserve">`&lt;hr&gt;`</w:t>
      </w:r>
    </w:p>
    <w:p>
      <w:pPr>
        <w:pStyle w:val="BodyText"/>
      </w:pPr>
      <w:r>
        <w:rPr>
          <w:iCs/>
          <w:i/>
        </w:rPr>
        <w:t xml:space="preserve">Note: This document is confidential and intended for internal use by senior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 Mathematician in Germany Munich</dc:title>
  <dc:creator/>
  <dc:language>en</dc:language>
  <cp:keywords/>
  <dcterms:created xsi:type="dcterms:W3CDTF">2026-07-29T11:07:01Z</dcterms:created>
  <dcterms:modified xsi:type="dcterms:W3CDTF">2026-07-29T11:07:01Z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