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b2f607cfce90522cb7958ba32e6b58115ff526b"/>
    <w:p>
      <w:pPr>
        <w:pStyle w:val="Heading1"/>
      </w:pPr>
      <w:r>
        <w:t xml:space="preserve">Project Report: Advancing Healthcare Innovation through the Medical Researcher Program in Malaysia Kuala Lumpur</w:t>
      </w:r>
    </w:p>
    <w:p>
      <w:pPr>
        <w:pStyle w:val="FirstParagraph"/>
      </w:pPr>
      <w:r>
        <w:rPr>
          <w:bCs/>
          <w:b/>
        </w:rPr>
        <w:t xml:space="preserve">Date:</w:t>
      </w:r>
      <w:r>
        <w:t xml:space="preserve"> </w:t>
      </w:r>
      <w:r>
        <w:t xml:space="preserve">October 26, 2023</w:t>
      </w:r>
      <w:r>
        <w:br/>
      </w:r>
      <w:r>
        <w:rPr>
          <w:bCs/>
          <w:b/>
        </w:rPr>
        <w:t xml:space="preserve">To:</w:t>
      </w:r>
      <w:r>
        <w:t xml:space="preserve">The Ministry of Health Malaysia and Stakeholders</w:t>
      </w:r>
      <w:r>
        <w:br/>
      </w:r>
    </w:p>
    <w:p>
      <w:pPr>
        <w:pStyle w:val="BodyText"/>
      </w:pPr>
      <w:r>
        <w:t xml:space="preserve">From:The Project Coordination Committee</w:t>
      </w:r>
      <w:r>
        <w:br/>
      </w:r>
    </w:p>
    <w:p>
      <w:pPr>
        <w:pStyle w:val="BodyText"/>
      </w:pPr>
      <w:r>
        <w:t xml:space="preserve">Subject: Strategic Implementation and Impact Analysis of the Medical Researcher Initiative in Malaysia Kuala Lumpur</w:t>
      </w:r>
    </w:p>
    <w:bookmarkStart w:id="20" w:name="executive-summary"/>
    <w:p>
      <w:pPr>
        <w:pStyle w:val="Heading2"/>
      </w:pPr>
      <w:r>
        <w:t xml:space="preserve">1. Executive Summary</w:t>
      </w:r>
    </w:p>
    <w:p>
      <w:pPr>
        <w:pStyle w:val="FirstParagraph"/>
      </w:pPr>
      <w:r>
        <w:t xml:space="preserve">This comprehensive report outlines the strategic objectives, operational framework, and projected outcomes of establishing a premier Medical Researcher hub within Malaysia Kuala Lumpur. As the capital city stands as the economic and administrative heart of the nation, it serves as the optimal location for fostering high-impact biomedical innovation. This document details how integrating advanced Medical Researcher capabilities into Malaysia Kuala Lumpur will not only elevate local healthcare standards but also position Malaysia as a central node in Southeast Asia’s global scientific community.</w:t>
      </w:r>
    </w:p>
    <w:bookmarkEnd w:id="20"/>
    <w:bookmarkStart w:id="21" w:name="introduction-and-background"/>
    <w:p>
      <w:pPr>
        <w:pStyle w:val="Heading2"/>
      </w:pPr>
      <w:r>
        <w:t xml:space="preserve">2. Introduction and Background</w:t>
      </w:r>
    </w:p>
    <w:p>
      <w:pPr>
        <w:pStyle w:val="FirstParagraph"/>
      </w:pPr>
      <w:r>
        <w:t xml:space="preserve">The landscape of modern healthcare is increasingly defined by data-driven insights and personalized medicine. For a Medical Researcher, the ability to access diverse demographic data, collaborate with top-tier hospitals, and leverage technological infrastructure is crucial. Malaysia Kuala Lumpur offers a unique convergence of these elements.</w:t>
      </w:r>
    </w:p>
    <w:p>
      <w:pPr>
        <w:pStyle w:val="BodyText"/>
      </w:pPr>
      <w:r>
        <w:t xml:space="preserve">Historically, Malaysia has invested heavily in healthcare infrastructure. However, there remains a significant opportunity to transition from service delivery to knowledge creation by empowering Medical Researcher roles within the capital region. By focusing on Malaysia Kuala Lumpur as the primary base of operations, this project aims to bridge the gap between clinical practice and laboratory innovation.</w:t>
      </w:r>
    </w:p>
    <w:bookmarkEnd w:id="21"/>
    <w:bookmarkStart w:id="22" w:name="strategic-objectives"/>
    <w:p>
      <w:pPr>
        <w:pStyle w:val="Heading2"/>
      </w:pPr>
      <w:r>
        <w:t xml:space="preserve">3. Strategic Objectives</w:t>
      </w:r>
    </w:p>
    <w:p>
      <w:pPr>
        <w:pStyle w:val="FirstParagraph"/>
      </w:pPr>
      <w:r>
        <w:t xml:space="preserve">The core mission of this initiative is to establish a world-class Medical Researcher ecosystem in Malaysia Kuala Lumpur. The specific objectives include:</w:t>
      </w:r>
    </w:p>
    <w:p>
      <w:pPr>
        <w:numPr>
          <w:ilvl w:val="0"/>
          <w:numId w:val="1001"/>
        </w:numPr>
        <w:pStyle w:val="Compact"/>
      </w:pPr>
      <w:r>
        <w:rPr>
          <w:bCs/>
          <w:b/>
        </w:rPr>
        <w:t xml:space="preserve">Epidemiological Surveillance:</w:t>
      </w:r>
      <w:r>
        <w:t xml:space="preserve"> </w:t>
      </w:r>
      <w:r>
        <w:t xml:space="preserve">Utilizing the dense urban population of Malaysia Kuala Lumpur to study non-communicable diseases (NCDs) such as diabetes and hypertension, which are prevalent in the region.</w:t>
      </w:r>
    </w:p>
    <w:p>
      <w:pPr>
        <w:numPr>
          <w:ilvl w:val="0"/>
          <w:numId w:val="1001"/>
        </w:numPr>
        <w:pStyle w:val="Compact"/>
      </w:pPr>
      <w:r>
        <w:rPr>
          <w:bCs/>
          <w:b/>
        </w:rPr>
        <w:t xml:space="preserve">Tropical Disease Innovation:</w:t>
      </w:r>
      <w:r>
        <w:t xml:space="preserve"> </w:t>
      </w:r>
      <w:r>
        <w:t xml:space="preserve">Leveraging Malaysia’s geographical context to allow Medical Researcher teams to lead global studies on dengue, malaria, and emerging infectious diseases.</w:t>
      </w:r>
    </w:p>
    <w:p>
      <w:pPr>
        <w:numPr>
          <w:ilvl w:val="0"/>
          <w:numId w:val="1001"/>
        </w:numPr>
        <w:pStyle w:val="Compact"/>
      </w:pPr>
      <w:r>
        <w:rPr>
          <w:bCs/>
          <w:b/>
        </w:rPr>
        <w:t xml:space="preserve">Digital Health Integration:</w:t>
      </w:r>
    </w:p>
    <w:p>
      <w:pPr>
        <w:numPr>
          <w:ilvl w:val="0"/>
          <w:numId w:val="1001"/>
        </w:numPr>
        <w:pStyle w:val="Compact"/>
      </w:pPr>
      <w:r>
        <w:t xml:space="preserve">Talent Development: Creating fellowship programs for early-career Medical Researcher professionals, ensuring a sustainable pipeline of scientific talent within the local workforce.</w:t>
      </w:r>
    </w:p>
    <w:bookmarkEnd w:id="22"/>
    <w:bookmarkStart w:id="26" w:name="Xaa41009990b2ab5b77f190efc442dedda898d5b"/>
    <w:p>
      <w:pPr>
        <w:pStyle w:val="Heading2"/>
      </w:pPr>
      <w:r>
        <w:t xml:space="preserve">4. Operational Framework in Malaysia Kuala Lumpur</w:t>
      </w:r>
    </w:p>
    <w:p>
      <w:pPr>
        <w:pStyle w:val="FirstParagraph"/>
      </w:pPr>
      <w:r>
        <w:t xml:space="preserve">The physical and institutional infrastructure required to support a Medical Researcher is centered in Malaysia Kuala Lumpur. The project proposes the establishment of three key centers:</w:t>
      </w:r>
    </w:p>
    <w:bookmarkStart w:id="23" w:name="a.-the-biomedical-innovation-hub"/>
    <w:p>
      <w:pPr>
        <w:pStyle w:val="Heading3"/>
      </w:pPr>
      <w:r>
        <w:rPr>
          <w:bCs/>
          <w:b/>
        </w:rPr>
        <w:t xml:space="preserve">A. The Biomedical Innovation Hub</w:t>
      </w:r>
    </w:p>
    <w:p>
      <w:pPr>
        <w:pStyle w:val="FirstParagraph"/>
      </w:pPr>
      <w:r>
        <w:t xml:space="preserve">Located near the established science parks in Petaling Jaya and adjacent to University Malaya, this facility will house state-of-the-art laboratories. It serves as the primary workspace for Medical Researcher teams conducting genetic sequencing and pharmaceutical trials.</w:t>
      </w:r>
    </w:p>
    <w:bookmarkEnd w:id="23"/>
    <w:bookmarkStart w:id="24" w:name="b.-the-clinical-data-exchange-center"/>
    <w:p>
      <w:pPr>
        <w:pStyle w:val="Heading3"/>
      </w:pPr>
      <w:r>
        <w:rPr>
          <w:bCs/>
          <w:b/>
        </w:rPr>
        <w:t xml:space="preserve">B. The Clinical Data Exchange Center</w:t>
      </w:r>
    </w:p>
    <w:p>
      <w:pPr>
        <w:pStyle w:val="FirstParagraph"/>
      </w:pPr>
      <w:r>
        <w:t xml:space="preserve">Situated within the Ministry of Health’s administrative complex in Malaysia Kuala Lumpur, this center facilitates secure data sharing between public hospitals and private institutions. This interoperability is critical for Medical Researcher to access large-scale patient datasets while maintaining strict privacy compliance.</w:t>
      </w:r>
    </w:p>
    <w:bookmarkEnd w:id="24"/>
    <w:bookmarkStart w:id="25" w:name="c.-the-collaborative-policy-institute"/>
    <w:p>
      <w:pPr>
        <w:pStyle w:val="Heading3"/>
      </w:pPr>
      <w:r>
        <w:rPr>
          <w:bCs/>
          <w:b/>
        </w:rPr>
        <w:t xml:space="preserve">C. The Collaborative Policy Institute</w:t>
      </w:r>
    </w:p>
    <w:p>
      <w:pPr>
        <w:pStyle w:val="FirstParagraph"/>
      </w:pPr>
      <w:r>
        <w:t xml:space="preserve">This think-tank component focuses on translating research findings into policy recommendations for the government of Malaysia. By embedding Medical Researcher experts within policy discussions, we ensure that scientific evidence directly influences healthcare legislation and funding allocations.</w:t>
      </w:r>
    </w:p>
    <w:bookmarkEnd w:id="25"/>
    <w:bookmarkEnd w:id="26"/>
    <w:bookmarkStart w:id="27" w:name="key-stakeholders-and-partnerships"/>
    <w:p>
      <w:pPr>
        <w:pStyle w:val="Heading2"/>
      </w:pPr>
      <w:r>
        <w:t xml:space="preserve">5. Key Stakeholders and Partnerships</w:t>
      </w:r>
    </w:p>
    <w:p>
      <w:pPr>
        <w:pStyle w:val="FirstParagraph"/>
      </w:pPr>
      <w:r>
        <w:t xml:space="preserve">The success of this initiative relies on robust collaboration among various entities in Malaysia Kuala Lumpur:</w:t>
      </w:r>
    </w:p>
    <w:p>
      <w:pPr>
        <w:numPr>
          <w:ilvl w:val="0"/>
          <w:numId w:val="1002"/>
        </w:numPr>
        <w:pStyle w:val="Compact"/>
      </w:pPr>
      <w:r>
        <w:rPr>
          <w:bCs/>
          <w:b/>
        </w:rPr>
        <w:t xml:space="preserve">Government Agencies:</w:t>
      </w:r>
      <w:r>
        <w:t xml:space="preserve">The Ministry of Health (MOH) and the Malaysian National Institute of Occupational Safety and Health (NIOSH) will provide regulatory guidance and funding.</w:t>
      </w:r>
    </w:p>
    <w:p>
      <w:pPr>
        <w:numPr>
          <w:ilvl w:val="0"/>
          <w:numId w:val="1002"/>
        </w:numPr>
        <w:pStyle w:val="Compact"/>
      </w:pPr>
      <w:r>
        <w:t xml:space="preserve">Academic Institutions:</w:t>
      </w:r>
    </w:p>
    <w:p>
      <w:pPr>
        <w:numPr>
          <w:ilvl w:val="0"/>
          <w:numId w:val="1000"/>
        </w:numPr>
        <w:pStyle w:val="Compact"/>
      </w:pPr>
      <w:r>
        <w:t xml:space="preserve">Universities such as Universiti Malaya, Monash University Malaysia, and International Islamic University Malaysia will serve as academic partners, providing research infrastructure and student manpower for Medical Researcher projects.</w:t>
      </w:r>
    </w:p>
    <w:p>
      <w:pPr>
        <w:numPr>
          <w:ilvl w:val="0"/>
          <w:numId w:val="1002"/>
        </w:numPr>
        <w:pStyle w:val="Compact"/>
      </w:pPr>
      <w:r>
        <w:rPr>
          <w:bCs/>
          <w:b/>
        </w:rPr>
        <w:t xml:space="preserve">Private Sector:</w:t>
      </w:r>
      <w:r>
        <w:t xml:space="preserve">Tech giants and pharmaceutical companies operating in Malaysia Kuala Lumpur will provide technology transfer opportunities and clinical trial sites.</w:t>
      </w:r>
    </w:p>
    <w:bookmarkEnd w:id="27"/>
    <w:bookmarkStart w:id="28" w:name="challenges-and-mitigation-strategies"/>
    <w:p>
      <w:pPr>
        <w:pStyle w:val="Heading2"/>
      </w:pPr>
      <w:r>
        <w:t xml:space="preserve">6. Challenges and Mitigation Strategies</w:t>
      </w:r>
    </w:p>
    <w:p>
      <w:pPr>
        <w:pStyle w:val="FirstParagraph"/>
      </w:pPr>
      <w:r>
        <w:rPr>
          <w:bCs/>
          <w:b/>
        </w:rPr>
        <w:t xml:space="preserve">Data Privacy Concerns:</w:t>
      </w:r>
    </w:p>
    <w:p>
      <w:pPr>
        <w:pStyle w:val="BodyText"/>
      </w:pPr>
      <w:r>
        <w:t xml:space="preserve">In the digital age, protecting patient data is paramount. To address this, we are implementing blockchain technology to secure health records accessed by Medical Researcher personnel in Malaysia Kuala Lumpur.</w:t>
      </w:r>
    </w:p>
    <w:p>
      <w:pPr>
        <w:pStyle w:val="BodyText"/>
      </w:pPr>
      <w:r>
        <w:rPr>
          <w:bCs/>
          <w:b/>
        </w:rPr>
        <w:t xml:space="preserve">Bureaucratic Hurdles:</w:t>
      </w:r>
    </w:p>
    <w:p>
      <w:pPr>
        <w:pStyle w:val="BodyText"/>
      </w:pPr>
      <w:r>
        <w:t xml:space="preserve">Navigating regulatory approval for clinical trials can be slow. We propose creating a "Fast-Track" ethical review board specifically for the Medical Researcher initiative, streamlining the approval process while maintaining rigorous safety standards.</w:t>
      </w:r>
    </w:p>
    <w:bookmarkEnd w:id="28"/>
    <w:bookmarkStart w:id="29" w:name="expected-outcomes-and-impact"/>
    <w:p>
      <w:pPr>
        <w:pStyle w:val="Heading2"/>
      </w:pPr>
      <w:r>
        <w:t xml:space="preserve">7. Expected Outcomes and Impact</w:t>
      </w:r>
    </w:p>
    <w:p>
      <w:pPr>
        <w:pStyle w:val="FirstParagraph"/>
      </w:pPr>
      <w:r>
        <w:t xml:space="preserve">The implementation of this project in Malaysia Kuala Lumpur is expected to yield significant long-term benefits:</w:t>
      </w:r>
    </w:p>
    <w:p>
      <w:pPr>
        <w:numPr>
          <w:ilvl w:val="0"/>
          <w:numId w:val="1003"/>
        </w:numPr>
        <w:pStyle w:val="Compact"/>
      </w:pPr>
      <w:r>
        <w:rPr>
          <w:bCs/>
          <w:b/>
        </w:rPr>
        <w:t xml:space="preserve">Economic Growth:</w:t>
      </w:r>
      <w:r>
        <w:t xml:space="preserve">The Medical Researcher sector is a high-value industry. By attracting international grants and foreign direct investment, Malaysia Kuala Lumpur will boost its economy through research commercialization.</w:t>
      </w:r>
    </w:p>
    <w:p>
      <w:pPr>
        <w:numPr>
          <w:ilvl w:val="0"/>
          <w:numId w:val="1003"/>
        </w:numPr>
        <w:pStyle w:val="Compact"/>
      </w:pPr>
      <w:r>
        <w:rPr>
          <w:bCs/>
          <w:b/>
        </w:rPr>
        <w:t xml:space="preserve">Improved Public Health:</w:t>
      </w:r>
    </w:p>
    <w:p>
      <w:pPr>
        <w:numPr>
          <w:ilvl w:val="0"/>
          <w:numId w:val="1000"/>
        </w:numPr>
        <w:pStyle w:val="Compact"/>
      </w:pPr>
      <w:r>
        <w:t xml:space="preserve">Better understanding of local disease patterns will lead to targeted interventions, reducing the burden on hospitals in Malaysia Kuala Lumpur.</w:t>
      </w:r>
    </w:p>
    <w:p>
      <w:pPr>
        <w:numPr>
          <w:ilvl w:val="0"/>
          <w:numId w:val="1003"/>
        </w:numPr>
        <w:pStyle w:val="Compact"/>
      </w:pPr>
      <w:r>
        <w:rPr>
          <w:bCs/>
          <w:b/>
        </w:rPr>
        <w:t xml:space="preserve">Global Reputation:</w:t>
      </w:r>
    </w:p>
    <w:p>
      <w:pPr>
        <w:numPr>
          <w:ilvl w:val="0"/>
          <w:numId w:val="1000"/>
        </w:numPr>
        <w:pStyle w:val="Compact"/>
      </w:pPr>
      <w:r>
        <w:t xml:space="preserve">Elevating the profile of Medical Researcher in Malaysia Kuala Lumpur will attract international conferences and collaborations, placing Malaysia at the forefront of Southeast Asian scientific innovation.</w:t>
      </w:r>
    </w:p>
    <w:bookmarkEnd w:id="29"/>
    <w:bookmarkStart w:id="30" w:name="conclusion"/>
    <w:p>
      <w:pPr>
        <w:pStyle w:val="Heading2"/>
      </w:pPr>
      <w:r>
        <w:t xml:space="preserve">8. Conclusion</w:t>
      </w:r>
    </w:p>
    <w:p>
      <w:pPr>
        <w:pStyle w:val="FirstParagraph"/>
      </w:pPr>
      <w:r>
        <w:t xml:space="preserve">The establishment of a robust Medical Researcher framework in Malaysia Kuala Lumpur is not merely an academic exercise; it is a strategic imperative for national health security and economic prosperity. By capitalizing on the unique advantages of Malaysia Kuala Lumpur—its centralized infrastructure, diverse population, and growing tech-savviness—we can create a model for medical innovation that serves both local communities and the global scientific community.</w:t>
      </w:r>
    </w:p>
    <w:p>
      <w:pPr>
        <w:pStyle w:val="BodyText"/>
      </w:pPr>
      <w:r>
        <w:t xml:space="preserve">We strongly recommend immediate approval of the funding proposal to commence Phase 1 of this project. The synergy between dedicated Medical Researcher efforts and the dynamic environment of Malaysia Kuala Lumpur promises to unlock new frontiers in human health.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Malaysia Kuala Lumpur</dc:title>
  <dc:creator/>
  <dc:language>en</dc:language>
  <cp:keywords/>
  <dcterms:created xsi:type="dcterms:W3CDTF">2026-07-30T00:35:17Z</dcterms:created>
  <dcterms:modified xsi:type="dcterms:W3CDTF">2026-07-30T00:35:17Z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