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Russia</w:t>
      </w:r>
      <w:r>
        <w:t xml:space="preserve"> </w:t>
      </w:r>
      <w:r>
        <w:t xml:space="preserve">Moscow</w:t>
      </w:r>
    </w:p>
    <w:bookmarkStart w:id="36" w:name="X39a386744ccb0a72868a8b6aa8a2336659bae43"/>
    <w:p>
      <w:pPr>
        <w:pStyle w:val="Heading1"/>
      </w:pPr>
      <w:r>
        <w:t xml:space="preserve">Project Report</w:t>
      </w:r>
      <w:r>
        <w:br/>
      </w:r>
      <w:r>
        <w:t xml:space="preserve">Strategic Medical Researcher Framework in Russia Moscow</w:t>
      </w:r>
    </w:p>
    <w:bookmarkStart w:id="20" w:name="executive-summary"/>
    <w:p>
      <w:pPr>
        <w:pStyle w:val="Heading2"/>
      </w:pPr>
      <w:r>
        <w:t xml:space="preserve">1. Executive Summary</w:t>
      </w:r>
    </w:p>
    <w:p>
      <w:pPr>
        <w:pStyle w:val="FirstParagraph"/>
      </w:pPr>
      <w:r>
        <w:t xml:space="preserve">This comprehensive Project Report outlines the strategic implementation, operational framework, and anticipated outcomes of advanced medical research initiatives within the bustling metropolis of Russia Moscow. As a global hub for science and technology, Russia Moscow presents a unique ecosystem where historical scientific rigor meets modern technological innovation. This report details how specialized Medical Researcher roles are integrated into this environment to address critical public health challenges, drive pharmaceutical innovation, and enhance clinical trial infrastructure.</w:t>
      </w:r>
    </w:p>
    <w:p>
      <w:pPr>
        <w:pStyle w:val="BodyText"/>
      </w:pPr>
      <w:r>
        <w:t xml:space="preserve">The primary objective of this project is to establish a robust network of Medical Researcher teams across Russia Moscow that can effectively collaborate with local healthcare institutions, international partners, and government regulatory bodies. By leveraging the dense academic resources in Russia Moscow—including prominent universities and specialized clinics—this initiative aims to accelerate the translation of basic science into clinical applications.</w:t>
      </w:r>
    </w:p>
    <w:bookmarkEnd w:id="20"/>
    <w:bookmarkStart w:id="21" w:name="background-and-context"/>
    <w:p>
      <w:pPr>
        <w:pStyle w:val="Heading2"/>
      </w:pPr>
      <w:r>
        <w:t xml:space="preserve">2. Background and Context</w:t>
      </w:r>
    </w:p>
    <w:p>
      <w:pPr>
        <w:pStyle w:val="FirstParagraph"/>
      </w:pPr>
      <w:r>
        <w:t xml:space="preserve">The healthcare landscape in Russia Moscow is undergoing significant transformation. The city serves as the political, economic, and cultural center of Russia, housing a population that demands high-quality healthcare services. Consequently, there is an increasing need for evidence-based medicine supported by rigorous scientific inquiry.</w:t>
      </w:r>
    </w:p>
    <w:p>
      <w:pPr>
        <w:pStyle w:val="BodyText"/>
      </w:pPr>
      <w:r>
        <w:t xml:space="preserve">In recent years, the Russian government has prioritized the development of domestic pharmaceutical capabilities and medical technology. This policy shift creates a fertile ground for Medical Researcher professionals who can navigate both the scientific and regulatory complexities of the region. Russia Moscow, with its concentration of state-funded laboratories and private biotech firms, offers unparalleled opportunities for large-scale epidemiological studies, genetic research, and clinical drug development.</w:t>
      </w:r>
    </w:p>
    <w:bookmarkEnd w:id="21"/>
    <w:bookmarkStart w:id="24" w:name="role-definition-the-medical-researcher"/>
    <w:p>
      <w:pPr>
        <w:pStyle w:val="Heading2"/>
      </w:pPr>
      <w:r>
        <w:t xml:space="preserve">3. Role Definition: The Medical Researcher</w:t>
      </w:r>
    </w:p>
    <w:p>
      <w:pPr>
        <w:pStyle w:val="FirstParagraph"/>
      </w:pPr>
      <w:r>
        <w:t xml:space="preserve">In the context of this project within Russia Moscow, the term 'Medical Researcher' is defined broadly to include principal investigators, clinical coordinators, data analysts, and laboratory scientists. These professionals are not merely academic entities; they are operational catalysts for healthcare improvement.</w:t>
      </w:r>
    </w:p>
    <w:bookmarkStart w:id="22" w:name="core-responsibilities"/>
    <w:p>
      <w:pPr>
        <w:pStyle w:val="Heading3"/>
      </w:pPr>
      <w:r>
        <w:t xml:space="preserve">3.1 Core Responsibilities</w:t>
      </w:r>
    </w:p>
    <w:p>
      <w:pPr>
        <w:numPr>
          <w:ilvl w:val="0"/>
          <w:numId w:val="1001"/>
        </w:numPr>
        <w:pStyle w:val="Compact"/>
      </w:pPr>
      <w:r>
        <w:rPr>
          <w:bCs/>
          <w:b/>
        </w:rPr>
        <w:t xml:space="preserve">Clinical Trial Management:</w:t>
      </w:r>
      <w:r>
        <w:t xml:space="preserve"> </w:t>
      </w:r>
      <w:r>
        <w:t xml:space="preserve">Medical Researcher teams will design and execute Phase I through IV clinical trials in compliance with both International Council for Harmonisation (ICH) guidelines and Russian Federation regulations. This ensures that data generated in Russia Moscow is globally recognized.</w:t>
      </w:r>
    </w:p>
    <w:p>
      <w:pPr>
        <w:numPr>
          <w:ilvl w:val="0"/>
          <w:numId w:val="1001"/>
        </w:numPr>
        <w:pStyle w:val="Compact"/>
      </w:pPr>
      <w:r>
        <w:rPr>
          <w:bCs/>
          <w:b/>
        </w:rPr>
        <w:t xml:space="preserve">Data Analysis and Interpretation:</w:t>
      </w:r>
      <w:r>
        <w:t xml:space="preserve"> </w:t>
      </w:r>
      <w:r>
        <w:t xml:space="preserve">Utilizing advanced bioinformatics tools, Medical Researcher staff will analyze patient data from major hospitals in Russia Moscow to identify trends in infectious diseases, oncology, and cardiovascular health.</w:t>
      </w:r>
    </w:p>
    <w:p>
      <w:pPr>
        <w:numPr>
          <w:ilvl w:val="0"/>
          <w:numId w:val="1001"/>
        </w:numPr>
        <w:pStyle w:val="Compact"/>
      </w:pPr>
      <w:r>
        <w:rPr>
          <w:bCs/>
          <w:b/>
        </w:rPr>
        <w:t xml:space="preserve">Cross-Institutional Collaboration:</w:t>
      </w:r>
      <w:r>
        <w:t xml:space="preserve"> </w:t>
      </w:r>
      <w:r>
        <w:t xml:space="preserve">Acting as bridges between academic institutions (such as those near the Moscow State University complex) and private pharmaceutical companies located within the Skolkovo innovation center nearby.</w:t>
      </w:r>
    </w:p>
    <w:p>
      <w:pPr>
        <w:numPr>
          <w:ilvl w:val="0"/>
          <w:numId w:val="1001"/>
        </w:numPr>
        <w:pStyle w:val="Compact"/>
      </w:pPr>
      <w:r>
        <w:rPr>
          <w:bCs/>
          <w:b/>
        </w:rPr>
        <w:t xml:space="preserve">Ethical Compliance:</w:t>
      </w:r>
    </w:p>
    <w:bookmarkEnd w:id="22"/>
    <w:bookmarkStart w:id="23" w:name="required-competencies"/>
    <w:p>
      <w:pPr>
        <w:pStyle w:val="Heading3"/>
      </w:pPr>
      <w:r>
        <w:t xml:space="preserve">3.2 Required Competencies</w:t>
      </w:r>
    </w:p>
    <w:p>
      <w:pPr>
        <w:pStyle w:val="FirstParagraph"/>
      </w:pPr>
      <w:r>
        <w:t xml:space="preserve">To succeed in the dynamic environment of Russia Moscow, Medical Researcher candidates must possess not only scientific expertise but also cultural and linguistic adaptability. Fluency in both English and Russian is often preferred for international collaboration, while a deep understanding of the local healthcare infrastructure is mandatory.</w:t>
      </w:r>
    </w:p>
    <w:bookmarkEnd w:id="23"/>
    <w:bookmarkEnd w:id="24"/>
    <w:bookmarkStart w:id="28" w:name="strategic-implementation-plan"/>
    <w:p>
      <w:pPr>
        <w:pStyle w:val="Heading2"/>
      </w:pPr>
      <w:r>
        <w:t xml:space="preserve">4. Strategic Implementation Plan</w:t>
      </w:r>
    </w:p>
    <w:bookmarkStart w:id="25" w:name="X0be1cfebb297c89bb5aa4e77f2ff5fe55bfc0c8"/>
    <w:p>
      <w:pPr>
        <w:pStyle w:val="Heading3"/>
      </w:pPr>
      <w:r>
        <w:t xml:space="preserve">4.1 Phase 1: Infrastructure and Regulatory Alignment (Months 1-6)</w:t>
      </w:r>
    </w:p>
    <w:p>
      <w:pPr>
        <w:pStyle w:val="FirstParagraph"/>
      </w:pPr>
      <w:r>
        <w:t xml:space="preserve">The initial phase focuses on establishing legal entities and research facilities in Russia Moscow. This involves securing partnerships with leading medical centers in the city, such as the Burdenko Neurosurgery Institute or the Pirogov Russian National Research Medical University.</w:t>
      </w:r>
    </w:p>
    <w:p>
      <w:pPr>
        <w:numPr>
          <w:ilvl w:val="0"/>
          <w:numId w:val="1002"/>
        </w:numPr>
        <w:pStyle w:val="Compact"/>
      </w:pPr>
      <w:r>
        <w:rPr>
          <w:bCs/>
          <w:b/>
        </w:rPr>
        <w:t xml:space="preserve">Action Item:</w:t>
      </w:r>
      <w:r>
        <w:t xml:space="preserve"> </w:t>
      </w:r>
      <w:r>
        <w:t xml:space="preserve">Legal consultation regarding R&amp;D tax incentives available in Russia Moscow for biomedical projects.</w:t>
      </w:r>
    </w:p>
    <w:p>
      <w:pPr>
        <w:numPr>
          <w:ilvl w:val="0"/>
          <w:numId w:val="1002"/>
        </w:numPr>
        <w:pStyle w:val="Compact"/>
      </w:pPr>
      <w:r>
        <w:rPr>
          <w:bCs/>
          <w:b/>
        </w:rPr>
        <w:t xml:space="preserve">Action Item:</w:t>
      </w:r>
      <w:r>
        <w:t xml:space="preserve"> </w:t>
      </w:r>
      <w:r>
        <w:t xml:space="preserve">Recruitment of senior Medical Researcher leads with experience in international multi-center trials.</w:t>
      </w:r>
    </w:p>
    <w:bookmarkEnd w:id="25"/>
    <w:bookmarkStart w:id="26" w:name="X9e20c38670b5a56c60dba7cfe198e6c22ed8ff0"/>
    <w:p>
      <w:pPr>
        <w:pStyle w:val="Heading3"/>
      </w:pPr>
      <w:r>
        <w:t xml:space="preserve">4.2 Phase 2: Pilot Studies and Protocol Development (Months 7-18)</w:t>
      </w:r>
    </w:p>
    <w:p>
      <w:pPr>
        <w:pStyle w:val="FirstParagraph"/>
      </w:pPr>
      <w:r>
        <w:t xml:space="preserve">In this phase, the Medical Researcher teams will launch pilot studies focusing on high-priority areas such as viral surveillance and personalized medicine. The dense population of Russia Moscow allows for rapid patient recruitment, a significant logistical advantage.</w:t>
      </w:r>
    </w:p>
    <w:p>
      <w:pPr>
        <w:numPr>
          <w:ilvl w:val="0"/>
          <w:numId w:val="1003"/>
        </w:numPr>
        <w:pStyle w:val="Compact"/>
      </w:pPr>
      <w:r>
        <w:rPr>
          <w:bCs/>
          <w:b/>
        </w:rPr>
        <w:t xml:space="preserve">Action Item:</w:t>
      </w:r>
      <w:r>
        <w:t xml:space="preserve"> </w:t>
      </w:r>
      <w:r>
        <w:t xml:space="preserve">Deployment of Electronic Health Record (EHR) systems compatible with Russian federal databases.</w:t>
      </w:r>
    </w:p>
    <w:p>
      <w:pPr>
        <w:numPr>
          <w:ilvl w:val="0"/>
          <w:numId w:val="1003"/>
        </w:numPr>
        <w:pStyle w:val="Compact"/>
      </w:pPr>
      <w:r>
        <w:rPr>
          <w:bCs/>
          <w:b/>
        </w:rPr>
        <w:t xml:space="preserve">Action Item:</w:t>
      </w:r>
      <w:r>
        <w:t xml:space="preserve"> </w:t>
      </w:r>
      <w:r>
        <w:t xml:space="preserve">Training workshops for local staff on Good Clinical Practice (GCP) standards led by visiting Medical Researcher experts.</w:t>
      </w:r>
    </w:p>
    <w:bookmarkEnd w:id="26"/>
    <w:bookmarkStart w:id="27" w:name="X18dc15a1e4293dd10fadf4ab8261889101e505d"/>
    <w:p>
      <w:pPr>
        <w:pStyle w:val="Heading3"/>
      </w:pPr>
      <w:r>
        <w:t xml:space="preserve">4.3 Phase 3: Scale-Up and International Publication (Months 19-36)</w:t>
      </w:r>
    </w:p>
    <w:p>
      <w:pPr>
        <w:pStyle w:val="FirstParagraph"/>
      </w:pPr>
      <w:r>
        <w:t xml:space="preserve">The final phase involves scaling successful pilot studies into full-scale trials and publishing results in high-impact international journals. This elevates the profile of Russia Moscow as a serious contender in the global medical research arena.</w:t>
      </w:r>
    </w:p>
    <w:p>
      <w:pPr>
        <w:numPr>
          <w:ilvl w:val="0"/>
          <w:numId w:val="1004"/>
        </w:numPr>
        <w:pStyle w:val="Compact"/>
      </w:pPr>
      <w:r>
        <w:rPr>
          <w:bCs/>
          <w:b/>
        </w:rPr>
        <w:t xml:space="preserve">Action Item:</w:t>
      </w:r>
      <w:r>
        <w:t xml:space="preserve"> </w:t>
      </w:r>
      <w:r>
        <w:t xml:space="preserve">Dissemination of findings through conferences held within Russia Moscow, attracting global stakeholders.</w:t>
      </w:r>
    </w:p>
    <w:p>
      <w:pPr>
        <w:numPr>
          <w:ilvl w:val="0"/>
          <w:numId w:val="1004"/>
        </w:numPr>
        <w:pStyle w:val="Compact"/>
      </w:pPr>
      <w:r>
        <w:rPr>
          <w:bCs/>
          <w:b/>
        </w:rPr>
        <w:t xml:space="preserve">Action Item:</w:t>
      </w:r>
      <w:r>
        <w:t xml:space="preserve"> </w:t>
      </w:r>
      <w:r>
        <w:t xml:space="preserve">Establishment of long-term data sharing agreements with international health organizations.</w:t>
      </w:r>
    </w:p>
    <w:bookmarkEnd w:id="27"/>
    <w:bookmarkEnd w:id="28"/>
    <w:bookmarkStart w:id="32" w:name="challenges-and-mitigation-strategies"/>
    <w:p>
      <w:pPr>
        <w:pStyle w:val="Heading2"/>
      </w:pPr>
      <w:r>
        <w:t xml:space="preserve">5. Challenges and Mitigation Strategies</w:t>
      </w:r>
    </w:p>
    <w:p>
      <w:pPr>
        <w:pStyle w:val="FirstParagraph"/>
      </w:pPr>
      <w:r>
        <w:t xml:space="preserve">Conducting medical research in Russia Moscow comes with distinct challenges that must be proactively managed.</w:t>
      </w:r>
    </w:p>
    <w:bookmarkStart w:id="29" w:name="regulatory-complexity"/>
    <w:p>
      <w:pPr>
        <w:pStyle w:val="Heading3"/>
      </w:pPr>
      <w:r>
        <w:t xml:space="preserve">5.1 Regulatory Complexity</w:t>
      </w:r>
    </w:p>
    <w:p>
      <w:pPr>
        <w:pStyle w:val="FirstParagraph"/>
      </w:pPr>
      <w:r>
        <w:t xml:space="preserve">The regulatory landscape in Russia can be intricate, with evolving requirements from the Ministry of Health.</w:t>
      </w:r>
      <w:r>
        <w:t xml:space="preserve"> </w:t>
      </w:r>
      <w:r>
        <w:rPr>
          <w:bCs/>
          <w:b/>
        </w:rPr>
        <w:t xml:space="preserve">Mitigation:</w:t>
      </w:r>
      <w:r>
        <w:t xml:space="preserve"> </w:t>
      </w:r>
      <w:r>
        <w:t xml:space="preserve">Employ dedicated regulatory affairs specialists within the Medical Researcher team to navigate bureaucratic processes efficiently.</w:t>
      </w:r>
    </w:p>
    <w:bookmarkEnd w:id="29"/>
    <w:bookmarkStart w:id="30" w:name="data-privacy-and-sovereignty"/>
    <w:p>
      <w:pPr>
        <w:pStyle w:val="Heading3"/>
      </w:pPr>
      <w:r>
        <w:t xml:space="preserve">5.2 Data Privacy and Sovereignty</w:t>
      </w:r>
    </w:p>
    <w:p>
      <w:pPr>
        <w:pStyle w:val="FirstParagraph"/>
      </w:pPr>
      <w:r>
        <w:t xml:space="preserve">Russia has strict data localization laws requiring personal data of Russian citizens to be stored on servers physically located in Russia Moscow.</w:t>
      </w:r>
      <w:r>
        <w:t xml:space="preserve"> </w:t>
      </w:r>
      <w:r>
        <w:rPr>
          <w:bCs/>
          <w:b/>
        </w:rPr>
        <w:t xml:space="preserve">Mitigation:</w:t>
      </w:r>
      <w:r>
        <w:t xml:space="preserve"> </w:t>
      </w:r>
      <w:r>
        <w:t xml:space="preserve">Invest in secure local cloud infrastructure and ensure all Medical Researcher IT protocols comply with Federal Law No. 152-FZ.</w:t>
      </w:r>
    </w:p>
    <w:bookmarkEnd w:id="30"/>
    <w:bookmarkStart w:id="31" w:name="brain-drain-and-retention"/>
    <w:p>
      <w:pPr>
        <w:pStyle w:val="Heading3"/>
      </w:pPr>
      <w:r>
        <w:t xml:space="preserve">5.3 Brain Drain and Retention</w:t>
      </w:r>
    </w:p>
    <w:p>
      <w:pPr>
        <w:pStyle w:val="FirstParagraph"/>
      </w:pPr>
      <w:r>
        <w:t xml:space="preserve">Talent retention is critical for the continuity of research in Russia Moscow.</w:t>
      </w:r>
      <w:r>
        <w:t xml:space="preserve"> </w:t>
      </w:r>
      <w:r>
        <w:rPr>
          <w:bCs/>
          <w:b/>
        </w:rPr>
        <w:t xml:space="preserve">Mitigation:</w:t>
      </w:r>
      <w:r>
        <w:t xml:space="preserve"> </w:t>
      </w:r>
      <w:r>
        <w:t xml:space="preserve">Offer competitive compensation packages, opportunities for international collaboration, and clear career progression paths for Medical Researcher professionals.</w:t>
      </w:r>
    </w:p>
    <w:bookmarkEnd w:id="31"/>
    <w:bookmarkEnd w:id="32"/>
    <w:bookmarkStart w:id="33" w:name="expected-outcomes-and-impact"/>
    <w:p>
      <w:pPr>
        <w:pStyle w:val="Heading2"/>
      </w:pPr>
      <w:r>
        <w:t xml:space="preserve">6. Expected Outcomes and Impact</w:t>
      </w:r>
    </w:p>
    <w:p>
      <w:pPr>
        <w:pStyle w:val="FirstParagraph"/>
      </w:pPr>
      <w:r>
        <w:t xml:space="preserve">The successful implementation of this project will yield significant benefits for the healthcare sector in Russia Moscow. We anticipate a 30% increase in the number of clinical trials initiated per year within the region over the next three years.</w:t>
      </w:r>
    </w:p>
    <w:p>
      <w:pPr>
        <w:pStyle w:val="BodyText"/>
      </w:pPr>
      <w:r>
        <w:t xml:space="preserve">Furthermore, by empowering Medical Researcher teams, we aim to improve local patient outcomes through faster access to innovative therapies. The knowledge transfer from international best practices to local Russian contexts will foster a culture of scientific excellence in Russia Moscow.</w:t>
      </w:r>
    </w:p>
    <w:p>
      <w:pPr>
        <w:pStyle w:val="BodyText"/>
      </w:pPr>
      <w:r>
        <w:t xml:space="preserve">Economically, the project is expected to stimulate growth in the biotech sector of Russia Moscow, attracting foreign investment and creating high-skilled jobs for scientists and technicians.</w:t>
      </w:r>
    </w:p>
    <w:bookmarkEnd w:id="33"/>
    <w:bookmarkStart w:id="34" w:name="conclusion"/>
    <w:p>
      <w:pPr>
        <w:pStyle w:val="Heading2"/>
      </w:pPr>
      <w:r>
        <w:t xml:space="preserve">7. Conclusion</w:t>
      </w:r>
    </w:p>
    <w:p>
      <w:pPr>
        <w:pStyle w:val="FirstParagraph"/>
      </w:pPr>
      <w:r>
        <w:t xml:space="preserve">This Project Report underscores the vital role of Medical Researcher initiatives in advancing healthcare capabilities within Russia Moscow. By aligning scientific rigor with local regulatory frameworks and leveraging the unique advantages of Russia Moscow’s infrastructure, this project sets a new standard for biomedical innovation.</w:t>
      </w:r>
    </w:p>
    <w:p>
      <w:pPr>
        <w:pStyle w:val="BodyText"/>
      </w:pPr>
      <w:r>
        <w:t xml:space="preserve">The integration of dedicated Medical Researcher teams into the ecosystem of Russia Moscow is not just an operational necessity but a strategic imperative. It promises to enhance public health, drive economic growth, and position Russia Moscow as a pivotal player in the global scientific community. We recommend immediate approval of resources to commence Phase 1 activities.</w:t>
      </w:r>
    </w:p>
    <w:bookmarkEnd w:id="34"/>
    <w:bookmarkStart w:id="35" w:name="appendices"/>
    <w:p>
      <w:pPr>
        <w:pStyle w:val="Heading2"/>
      </w:pPr>
      <w:r>
        <w:t xml:space="preserve">8. Appendices</w:t>
      </w:r>
    </w:p>
    <w:p>
      <w:pPr>
        <w:numPr>
          <w:ilvl w:val="0"/>
          <w:numId w:val="1005"/>
        </w:numPr>
        <w:pStyle w:val="Compact"/>
      </w:pPr>
      <w:r>
        <w:rPr>
          <w:bCs/>
          <w:b/>
        </w:rPr>
        <w:t xml:space="preserve">A:</w:t>
      </w:r>
      <w:r>
        <w:t xml:space="preserve"> </w:t>
      </w:r>
      <w:r>
        <w:t xml:space="preserve">List of Partner Institutions in Russia Moscow.</w:t>
      </w:r>
    </w:p>
    <w:p>
      <w:pPr>
        <w:numPr>
          <w:ilvl w:val="0"/>
          <w:numId w:val="1005"/>
        </w:numPr>
        <w:pStyle w:val="Compact"/>
      </w:pPr>
      <w:r>
        <w:rPr>
          <w:bCs/>
          <w:b/>
        </w:rPr>
        <w:t xml:space="preserve">B:</w:t>
      </w:r>
    </w:p>
    <w:p>
      <w:pPr>
        <w:numPr>
          <w:ilvl w:val="0"/>
          <w:numId w:val="1005"/>
        </w:numPr>
        <w:pStyle w:val="Compact"/>
      </w:pPr>
      <w:r>
        <w:t xml:space="preserve">C: Regulatory Compliance Checklist for Russia Moscow Jurisdiction.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Russia Moscow</dc:title>
  <dc:creator/>
  <dc:language>en</dc:language>
  <cp:keywords/>
  <dcterms:created xsi:type="dcterms:W3CDTF">2026-07-30T12:27:19Z</dcterms:created>
  <dcterms:modified xsi:type="dcterms:W3CDTF">2026-07-30T12:27:19Z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