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project-report"/>
    <w:p>
      <w:pPr>
        <w:pStyle w:val="Heading1"/>
      </w:pPr>
      <w:r>
        <w:t xml:space="preserve">Project Report</w:t>
      </w:r>
    </w:p>
    <w:bookmarkStart w:id="29" w:name="Xa5b3b1f14822c8c449bd9ec8c4a97cafb385908"/>
    <w:p>
      <w:pPr>
        <w:pStyle w:val="Heading2"/>
      </w:pPr>
      <w:r>
        <w:t xml:space="preserve">Comprehensive Framework for the Medical Researcher Role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(DOH) Abu Dhabi / University Leadership Council</w:t>
      </w:r>
      <w:r>
        <w:br/>
      </w:r>
      <w:r>
        <w:t xml:space="preserve">Strategic Planning Committee</w:t>
      </w:r>
      <w:r>
        <w:br/>
      </w:r>
      <w:r>
        <w:t xml:space="preserve">: Strategic Implementation of the Medical Researcher Position within the United Arab Emirates Abu Dhabi Healthcare Ecosystem</w:t>
      </w:r>
    </w:p>
    <w:bookmarkStart w:id="20" w:name="executive-summary"/>
    <w:p>
      <w:pPr>
        <w:pStyle w:val="Heading3"/>
      </w:pPr>
      <w:r>
        <w:t xml:space="preserve">1. Executive Summary</w:t>
      </w:r>
    </w:p>
    <w:p>
      <w:pPr>
        <w:pStyle w:val="FirstParagraph"/>
      </w:pPr>
      <w:r>
        <w:t xml:space="preserve">The United Arab Emirates (UAE) stands at a pivotal juncture in its healthcare evolution, driven by the visionary mandates of UAE Vision 2021 and the subsequent national health strategies that prioritize innovation, excellence, and patient-centric care. This project report outlines the strategic necessity of establishing and optimizing the role of the</w:t>
      </w:r>
      <w:r>
        <w:t xml:space="preserve"> </w:t>
      </w:r>
      <w:r>
        <w:rPr>
          <w:bCs/>
          <w:b/>
        </w:rPr>
        <w:t xml:space="preserve">Medical Researcher</w:t>
      </w:r>
      <w:r>
        <w:t xml:space="preserve"> </w:t>
      </w:r>
      <w:r>
        <w:t xml:space="preserve">within</w:t>
      </w:r>
      <w:r>
        <w:t xml:space="preserve"> </w:t>
      </w:r>
      <w:r>
        <w:rPr>
          <w:bCs/>
          <w:b/>
        </w:rPr>
        <w:t xml:space="preserve">Abu Dhabi</w:t>
      </w:r>
      <w:r>
        <w:t xml:space="preserve">. The objective is to integrate high-impact scientific inquiry with clinical practice to address unique regional health challenges, thereby solidifying Abu Dhabi’s status as a global hub for medical excellence. By defining the scope, responsibilities, and expected outcomes of this role, we aim to foster an environment where evidence-based medicine drives policy and treatment protocols.</w:t>
      </w:r>
    </w:p>
    <w:bookmarkEnd w:id="20"/>
    <w:bookmarkStart w:id="21" w:name="introduction-and-context"/>
    <w:p>
      <w:pPr>
        <w:pStyle w:val="Heading3"/>
      </w:pPr>
      <w:r>
        <w:t xml:space="preserve">2. Introduction and Context</w:t>
      </w:r>
    </w:p>
    <w:p>
      <w:pPr>
        <w:pStyle w:val="FirstParagraph"/>
      </w:pPr>
      <w:r>
        <w:rPr>
          <w:bCs/>
          <w:b/>
        </w:rPr>
        <w:t xml:space="preserve">Abu Dhabi</w:t>
      </w:r>
      <w:r>
        <w:t xml:space="preserve">, as the capital of the United Arab Emirates, has undergone a transformative shift in its healthcare infrastructure over the last two decades. The integration of advanced digital health records, world-class hospital facilities, and stringent regulatory frameworks by the Department of Health Abu Dhabi (DOH) has created an ideal ecosystem for scientific advancement. However, clinical excellence alone is insufficient to meet the growing complexity of modern healthcare demands. There is a critical need to transition from purely application-based medicine to a model that includes rigorous investigation and discovery.</w:t>
      </w:r>
    </w:p>
    <w:p>
      <w:pPr>
        <w:pStyle w:val="BodyText"/>
      </w:pPr>
      <w:r>
        <w:t xml:space="preserve">The</w:t>
      </w:r>
      <w:r>
        <w:t xml:space="preserve"> </w:t>
      </w:r>
      <w:r>
        <w:rPr>
          <w:bCs/>
          <w:b/>
        </w:rPr>
        <w:t xml:space="preserve">Medical Researcher</w:t>
      </w:r>
      <w:r>
        <w:t xml:space="preserve"> </w:t>
      </w:r>
      <w:r>
        <w:t xml:space="preserve">serves as the linchpin in this transition. This professional entity is not merely an academic observer but an active participant in solving local health issues such as high prevalence rates of diabetes, cardiovascular diseases, and genetic disorders prevalent in the GCC region. The presence of a dedicated Medical Researcher ensures that Abu Dhabi does not just consume global medical knowledge but also contributes to it.</w:t>
      </w:r>
    </w:p>
    <w:bookmarkEnd w:id="21"/>
    <w:bookmarkStart w:id="23" w:name="role-definition-and-strategic-alignment"/>
    <w:p>
      <w:pPr>
        <w:pStyle w:val="Heading3"/>
      </w:pPr>
      <w:r>
        <w:t xml:space="preserve">3. Role Definition and Strategic Alignment</w:t>
      </w:r>
    </w:p>
    <w:p>
      <w:pPr>
        <w:pStyle w:val="FirstParagraph"/>
      </w:pPr>
      <w:r>
        <w:t xml:space="preserve">The role of the</w:t>
      </w:r>
      <w:r>
        <w:t xml:space="preserve"> </w:t>
      </w:r>
      <w:r>
        <w:rPr>
          <w:bCs/>
          <w:b/>
        </w:rPr>
        <w:t xml:space="preserve">Medical Researcher</w:t>
      </w:r>
      <w:r>
        <w:t xml:space="preserve"> </w:t>
      </w:r>
      <w:r>
        <w:t xml:space="preserve">in this context is multidimensional. It requires alignment with the strategic goals of major healthcare entities in Abu Dhabi, such as Cleveland Clinic Abu Dhabi, Sheikh Shakhbout Medical City, and Tawam Hospital. The researcher’s primary mandate is to conduct rigorous clinical trials, epidemiological studies, and translational research that are directly applicable to the population of</w:t>
      </w:r>
      <w:r>
        <w:t xml:space="preserve"> </w:t>
      </w:r>
      <w:r>
        <w:rPr>
          <w:bCs/>
          <w:b/>
        </w:rPr>
        <w:t xml:space="preserve">Abu Dhabi</w:t>
      </w:r>
      <w:r>
        <w:t xml:space="preserve">.</w:t>
      </w:r>
    </w:p>
    <w:bookmarkStart w:id="22" w:name="core-competencies-required"/>
    <w:p>
      <w:pPr>
        <w:pStyle w:val="Heading4"/>
      </w:pPr>
      <w:r>
        <w:t xml:space="preserve">3.1 Core Competencies Required</w:t>
      </w:r>
    </w:p>
    <w:p>
      <w:pPr>
        <w:numPr>
          <w:ilvl w:val="0"/>
          <w:numId w:val="1001"/>
        </w:numPr>
        <w:pStyle w:val="Compact"/>
      </w:pPr>
      <w:r>
        <w:rPr>
          <w:bCs/>
          <w:b/>
        </w:rPr>
        <w:t xml:space="preserve">Clinical Expertise:</w:t>
      </w:r>
      <w:r>
        <w:t xml:space="preserve"> </w:t>
      </w:r>
      <w:r>
        <w:t xml:space="preserve">Deep understanding of medical sciences, pharmacology, or specific specialty areas.</w:t>
      </w:r>
    </w:p>
    <w:p>
      <w:pPr>
        <w:numPr>
          <w:ilvl w:val="0"/>
          <w:numId w:val="1001"/>
        </w:numPr>
        <w:pStyle w:val="Compact"/>
      </w:pPr>
      <w:r>
        <w:rPr>
          <w:bCs/>
          <w:b/>
        </w:rPr>
        <w:t xml:space="preserve">Data Analytics Proficiency:</w:t>
      </w:r>
      <w:r>
        <w:t xml:space="preserve"> </w:t>
      </w:r>
      <w:r>
        <w:t xml:space="preserve">Ability to interpret large datasets from the Health Information Management (HIM) systems used across Abu Dhabi facilities.</w:t>
      </w:r>
    </w:p>
    <w:p>
      <w:pPr>
        <w:numPr>
          <w:ilvl w:val="0"/>
          <w:numId w:val="1001"/>
        </w:numPr>
        <w:pStyle w:val="Compact"/>
      </w:pPr>
      <w:r>
        <w:rPr>
          <w:bCs/>
          <w:b/>
        </w:rPr>
        <w:t xml:space="preserve">Cultural Sensitivity:</w:t>
      </w:r>
      <w:r>
        <w:t xml:space="preserve"> </w:t>
      </w:r>
      <w:r>
        <w:t xml:space="preserve">Understanding the demographic diversity of</w:t>
      </w:r>
    </w:p>
    <w:p>
      <w:pPr>
        <w:numPr>
          <w:ilvl w:val="0"/>
          <w:numId w:val="1000"/>
        </w:numPr>
        <w:pStyle w:val="Compact"/>
      </w:pPr>
      <w:r>
        <w:t xml:space="preserve">The United Arab Emirates, ensuring research protocols respect local cultural and religious norms.</w:t>
      </w:r>
    </w:p>
    <w:p>
      <w:pPr>
        <w:numPr>
          <w:ilvl w:val="0"/>
          <w:numId w:val="1001"/>
        </w:numPr>
        <w:pStyle w:val="Compact"/>
      </w:pPr>
      <w:r>
        <w:t xml:space="preserve">Ethical Compliance:: Strict adherence to DOH regulations and international ethical standards for human subject research.</w:t>
      </w:r>
    </w:p>
    <w:bookmarkEnd w:id="22"/>
    <w:bookmarkEnd w:id="23"/>
    <w:bookmarkStart w:id="24" w:name="key-areas-of-focus"/>
    <w:p>
      <w:pPr>
        <w:pStyle w:val="Heading3"/>
      </w:pPr>
      <w:r>
        <w:t xml:space="preserve">4. Key Areas of Focus</w:t>
      </w:r>
    </w:p>
    <w:p>
      <w:pPr>
        <w:pStyle w:val="FirstParagraph"/>
      </w:pPr>
      <w:r>
        <w:t xml:space="preserve">To maximize the impact of the Medical Researcher in</w:t>
      </w:r>
      <w:r>
        <w:t xml:space="preserve"> </w:t>
      </w:r>
      <w:r>
        <w:rPr>
          <w:bCs/>
          <w:b/>
        </w:rPr>
        <w:t xml:space="preserve">Abu Dhabi</w:t>
      </w:r>
      <w:r>
        <w:t xml:space="preserve">, four key pillars have been identified:</w:t>
      </w:r>
    </w:p>
    <w:p>
      <w:pPr>
        <w:numPr>
          <w:ilvl w:val="0"/>
          <w:numId w:val="1002"/>
        </w:numPr>
        <w:pStyle w:val="Compact"/>
      </w:pPr>
      <w:r>
        <w:rPr>
          <w:bCs/>
          <w:b/>
        </w:rPr>
        <w:t xml:space="preserve">National Health Priorities:</w:t>
      </w:r>
      <w:r>
        <w:t xml:space="preserve"> </w:t>
      </w:r>
      <w:r>
        <w:t xml:space="preserve">Research must align with the UAE’s national health priorities, particularly metabolic syndrome, mental health awareness, and preventative care strategies. The researcher will lead studies that provide data-driven insights into why these conditions are prevalent in the region and how they can be mitigated.</w:t>
      </w:r>
    </w:p>
    <w:p>
      <w:pPr>
        <w:numPr>
          <w:ilvl w:val="0"/>
          <w:numId w:val="1002"/>
        </w:numPr>
        <w:pStyle w:val="Compact"/>
      </w:pPr>
      <w:r>
        <w:rPr>
          <w:bCs/>
          <w:b/>
        </w:rPr>
        <w:t xml:space="preserve">Digital Health Integration:</w:t>
      </w:r>
      <w:r>
        <w:t xml:space="preserve"> </w:t>
      </w:r>
      <w:r>
        <w:t xml:space="preserve">Abu Dhabi is a leader in digital transformation. The Medical Researcher must leverage AI and machine learning tools to analyze patient outcomes, predict disease outbreaks, and personalize treatment plans. This involves collaborating with IT departments to ensure data privacy while maximizing research utility.</w:t>
      </w:r>
    </w:p>
    <w:p>
      <w:pPr>
        <w:numPr>
          <w:ilvl w:val="0"/>
          <w:numId w:val="1002"/>
        </w:numPr>
        <w:pStyle w:val="Compact"/>
      </w:pPr>
      <w:r>
        <w:rPr>
          <w:bCs/>
          <w:b/>
        </w:rPr>
        <w:t xml:space="preserve">Translational Medicine:</w:t>
      </w:r>
      <w:r>
        <w:t xml:space="preserve"> </w:t>
      </w:r>
      <w:r>
        <w:t xml:space="preserve">Bridging the gap between laboratory discoveries and clinical application is crucial. The researcher will work closely with pharmaceutical companies and biotech firms operating in the UAE to accelerate the adoption of new therapies into standard clinical practice in Abu Dhabi hospitals.</w:t>
      </w:r>
    </w:p>
    <w:p>
      <w:pPr>
        <w:numPr>
          <w:ilvl w:val="0"/>
          <w:numId w:val="1002"/>
        </w:numPr>
        <w:pStyle w:val="Compact"/>
      </w:pPr>
      <w:r>
        <w:rPr>
          <w:bCs/>
          <w:b/>
        </w:rPr>
        <w:t xml:space="preserve">Talent Development and Education:</w:t>
      </w:r>
      <w:r>
        <w:t xml:space="preserve"> </w:t>
      </w:r>
      <w:r>
        <w:t xml:space="preserve">A significant part of this role involves mentoring junior staff, medical students, and residents. By fostering a research-oriented culture, the Medical Researcher contributes to building long-term human capital capacity within</w:t>
      </w:r>
      <w:r>
        <w:t xml:space="preserve"> </w:t>
      </w:r>
      <w:r>
        <w:rPr>
          <w:bCs/>
          <w:b/>
        </w:rPr>
        <w:t xml:space="preserve">The United Arab Emirates</w:t>
      </w:r>
      <w:r>
        <w:t xml:space="preserve">.</w:t>
      </w:r>
    </w:p>
    <w:bookmarkEnd w:id="24"/>
    <w:bookmarkStart w:id="25" w:name="implementation-strategy"/>
    <w:p>
      <w:pPr>
        <w:pStyle w:val="Heading3"/>
      </w:pPr>
      <w:r>
        <w:t xml:space="preserve">5. Implementation Strategy</w:t>
      </w:r>
    </w:p>
    <w:p>
      <w:pPr>
        <w:pStyle w:val="FirstParagraph"/>
      </w:pPr>
      <w:r>
        <w:rPr>
          <w:bCs/>
          <w:b/>
        </w:rPr>
        <w:t xml:space="preserve">Phase 1: Infrastructure and Policy Setup (Months 1-6)</w:t>
      </w:r>
      <w:r>
        <w:br/>
      </w:r>
      <w:r>
        <w:t xml:space="preserve">Establishment of dedicated research units within major hospitals in Abu Dhabi. This includes securing approval from the DOH Research Committee and setting up Institutional Review Boards (IRBs). The Medical Researcher will draft standard operating procedures (SOPs) for data handling and ethical compliance.</w:t>
      </w:r>
    </w:p>
    <w:p>
      <w:pPr>
        <w:pStyle w:val="BodyText"/>
      </w:pPr>
      <w:r>
        <w:rPr>
          <w:bCs/>
          <w:b/>
        </w:rPr>
        <w:t xml:space="preserve">Phase 2: Pilot Projects and Collaboration (Months 7-18)</w:t>
      </w:r>
      <w:r>
        <w:br/>
      </w:r>
      <w:r>
        <w:t xml:space="preserve">Launch of initial pilot studies focusing on high-priority areas such as Type 2 Diabetes management. Collaboration with international universities will be initiated to enhance methodological rigor. The researcher will publish preliminary findings in peer-reviewed journals to establish credibility and attract further funding.</w:t>
      </w:r>
    </w:p>
    <w:p>
      <w:pPr>
        <w:pStyle w:val="BodyText"/>
      </w:pPr>
      <w:r>
        <w:rPr>
          <w:bCs/>
          <w:b/>
        </w:rPr>
        <w:t xml:space="preserve">Phase 3: Scale-Up and Integration (Months 19-36)</w:t>
      </w:r>
      <w:r>
        <w:br/>
      </w:r>
      <w:r>
        <w:t xml:space="preserve">Expanding the scope of research to include multi-center trials across different emirates, with Abu Dhabi as the coordinating hub. Implementation of automated data collection systems to streamline ongoing research efforts. The establishment of a "Research Innovation Fund" to support internal investigators.</w:t>
      </w:r>
    </w:p>
    <w:bookmarkEnd w:id="25"/>
    <w:bookmarkStart w:id="26" w:name="expected-outcomes-and-impact"/>
    <w:p>
      <w:pPr>
        <w:pStyle w:val="Heading3"/>
      </w:pPr>
      <w:r>
        <w:t xml:space="preserve">6. Expected Outcomes and Impact</w:t>
      </w:r>
    </w:p>
    <w:p>
      <w:pPr>
        <w:pStyle w:val="FirstParagraph"/>
      </w:pPr>
      <w:r>
        <w:t xml:space="preserve">The successful implementation of the Medical Researcher role will yield significant benefits for</w:t>
      </w:r>
      <w:r>
        <w:t xml:space="preserve"> </w:t>
      </w:r>
      <w:r>
        <w:rPr>
          <w:bCs/>
          <w:b/>
        </w:rPr>
        <w:t xml:space="preserve">Abu Dhabi</w:t>
      </w:r>
      <w:r>
        <w:t xml:space="preserve">. Quantitatively, we expect a 15-20% increase in published clinical trials per annum within the local healthcare sector. Qualitatively, it will lead to improved patient outcomes through the adoption of evidence-based protocols tailored to the local population. Furthermore, this initiative will enhance Abu Dhabi’s global reputation as a center for medical innovation, attracting international partnerships and investment.</w:t>
      </w:r>
    </w:p>
    <w:p>
      <w:pPr>
        <w:pStyle w:val="BodyText"/>
      </w:pPr>
      <w:r>
        <w:t xml:space="preserve">For</w:t>
      </w:r>
      <w:r>
        <w:t xml:space="preserve"> </w:t>
      </w:r>
      <w:r>
        <w:rPr>
          <w:bCs/>
          <w:b/>
        </w:rPr>
        <w:t xml:space="preserve">The United Arab Emirates</w:t>
      </w:r>
      <w:r>
        <w:t xml:space="preserve">, this project supports the broader national agenda of economic diversification by building a knowledge-based economy in healthcare. It reduces dependency on foreign expertise by cultivating local talent capable of leading global research initiatives.</w:t>
      </w:r>
    </w:p>
    <w:bookmarkEnd w:id="26"/>
    <w:bookmarkStart w:id="27" w:name="challenges-and-risk-mitigation"/>
    <w:p>
      <w:pPr>
        <w:pStyle w:val="Heading3"/>
      </w:pPr>
      <w:r>
        <w:t xml:space="preserve">7. Challenges and Risk Mitigation</w:t>
      </w:r>
    </w:p>
    <w:p>
      <w:pPr>
        <w:pStyle w:val="FirstParagraph"/>
      </w:pPr>
      <w:r>
        <w:t xml:space="preserve">Potential challenges include regulatory bottlenecks, data privacy concerns, and resistance to change among clinical staff. To mitigate these, the project team will engage in continuous dialogue with policymakers to streamline approval processes. Robust cybersecurity measures will be implemented to protect patient data. Additionally, change management workshops will be conducted to demonstrate the value of research in improving daily clinical workflows.</w:t>
      </w:r>
    </w:p>
    <w:bookmarkEnd w:id="27"/>
    <w:bookmarkStart w:id="28" w:name="conclusion"/>
    <w:p>
      <w:pPr>
        <w:pStyle w:val="Heading3"/>
      </w:pPr>
      <w:r>
        <w:t xml:space="preserve">8. Conclusion</w:t>
      </w:r>
    </w:p>
    <w:p>
      <w:pPr>
        <w:pStyle w:val="FirstParagraph"/>
      </w:pPr>
      <w:r>
        <w:t xml:space="preserve">The integration of a dedicated Medical Researcher into the healthcare fabric of Abu Dhabi is not merely an academic exercise but a strategic imperative. It aligns perfectly with the ambitious goals of The United Arab Emirates to lead in quality, innovation, and sustainability. By empowering skilled researchers to investigate local health challenges, Abu Dhabi can set new standards for global healthcare delivery. This report recommends immediate approval and funding allocation for the recruitment and initialization of this critical role.</w:t>
      </w:r>
    </w:p>
    <w:p>
      <w:r>
        <w:pict>
          <v:rect style="width:0;height:1.5pt" o:hralign="center" o:hrstd="t" o:hr="t"/>
        </w:pict>
      </w:r>
    </w:p>
    <w:p>
      <w:pPr>
        <w:pStyle w:val="FirstParagraph"/>
      </w:pPr>
      <w:r>
        <w:rPr>
          <w:bCs/>
          <w:b/>
        </w:rPr>
        <w:t xml:space="preserve">Prepared by:</w:t>
      </w:r>
      <w:r>
        <w:br/>
      </w:r>
      <w:r>
        <w:t xml:space="preserve">Strategic Planning Committee</w:t>
      </w:r>
      <w:r>
        <w:br/>
      </w:r>
      <w:r>
        <w:t xml:space="preserve">Department of Health Initiatives, Abu Dhabi</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2026-07-29T19:53:03Z</dcterms:created>
  <dcterms:modified xsi:type="dcterms:W3CDTF">2026-07-29T19:53:03Z</dcterms:modified>
</cp:coreProperties>
</file>

<file path=docProps/custom.xml><?xml version="1.0" encoding="utf-8"?>
<Properties xmlns="http://schemas.openxmlformats.org/officeDocument/2006/custom-properties" xmlns:vt="http://schemas.openxmlformats.org/officeDocument/2006/docPropsVTypes"/>
</file>