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University of Birmingham Executive Board &amp; NHS Trust Leadership</w:t>
      </w:r>
    </w:p>
    <w:p>
      <w:pPr>
        <w:pStyle w:val="BodyText"/>
      </w:pPr>
      <w:r>
        <w:rPr>
          <w:bCs/>
          <w:b/>
        </w:rPr>
        <w:t xml:space="preserve">From:</w:t>
      </w:r>
      <w:r>
        <w:t xml:space="preserve"> </w:t>
      </w:r>
      <w:r>
        <w:t xml:space="preserve">Strategic Planning Committee</w:t>
      </w:r>
    </w:p>
    <w:p>
      <w:pPr>
        <w:pStyle w:val="BodyText"/>
      </w:pPr>
      <w:r>
        <w:t xml:space="preserve">Awards and Grants Division</w:t>
      </w:r>
    </w:p>
    <w:bookmarkEnd w:id="20"/>
    <w:p>
      <w:pPr>
        <w:pStyle w:val="BodyText"/>
      </w:pPr>
      <w:r>
        <w:t xml:space="preserve">" class="footer"&gt;</w:t>
      </w:r>
    </w:p>
    <w:bookmarkStart w:id="21" w:name="project-report-document-1"/>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University of Birmingham Executive Board &amp; NHS Trust Leadership</w:t>
      </w:r>
    </w:p>
    <w:bookmarkEnd w:id="21"/>
    <w:p>
      <w:pPr>
        <w:pStyle w:val="BodyText"/>
      </w:pPr>
      <w:r>
        <w:t xml:space="preserve">" class="footer"&gt;</w:t>
      </w:r>
    </w:p>
    <w:bookmarkStart w:id="22" w:name="executive-summary"/>
    <w:p>
      <w:pPr>
        <w:pStyle w:val="Heading2"/>
      </w:pPr>
      <w:r>
        <w:t xml:space="preserve">1. Executive Summary</w:t>
      </w:r>
    </w:p>
    <w:p>
      <w:pPr>
        <w:pStyle w:val="FirstParagraph"/>
      </w:pPr>
      <w:r>
        <w:t xml:space="preserve">This Project Report document outlines the strategic implementation, operational requirements, and expected outcomes of establishing a specialized cohort of Medical Researcher positions within the United Kingdom Birmingham healthcare and academic ecosystem. As a global hub for biomedical innovation, Birmingham offers a unique confluence of academic excellence provided by the University of Birmingham and world-class clinical facilities via the Queen Elizabeth Hospital (QEH) campus. This report details how recruiting highly qualified Medical Researcher professionals will accelerate translational medicine initiatives, enhance patient care protocols, and solidify the region's reputation as a premier destination for scientific discovery.</w:t>
      </w:r>
    </w:p>
    <w:bookmarkEnd w:id="22"/>
    <w:bookmarkStart w:id="23" w:name="introduction-and-background"/>
    <w:p>
      <w:pPr>
        <w:pStyle w:val="Heading2"/>
      </w:pPr>
      <w:r>
        <w:t xml:space="preserve">2. Introduction and Background</w:t>
      </w:r>
    </w:p>
    <w:p>
      <w:pPr>
        <w:pStyle w:val="FirstParagraph"/>
      </w:pPr>
      <w:r>
        <w:t xml:space="preserve">The landscape of modern healthcare is increasingly defined by the integration of rigorous scientific inquiry with clinical practice. In this context, the role of a Medical Researcher is not merely academic but critical to the evolution of patient outcomes. This document serves as a formal Project Report documenting the initiative to expand research capabilities in United Kingdom Birmingham. The city has historically been at the forefront of medical advancements, from early microbiology breakthroughs to modern genomics. However, as global competition intensifies, there is an urgent need to bolster our workforce with specialized Medical Researcher talent capable of navigating complex interdisciplinary challenges.</w:t>
      </w:r>
    </w:p>
    <w:p>
      <w:pPr>
        <w:pStyle w:val="BodyText"/>
      </w:pPr>
      <w:r>
        <w:t xml:space="preserve">The primary objective of this project is to create a sustainable framework for employing Medical Researcher staff who can bridge the gap between laboratory bench and bedside clinic. By focusing on United Kingdom Birmingham, we aim to leverage existing infrastructure while addressing specific local health disparities through targeted research agendas.</w:t>
      </w:r>
    </w:p>
    <w:bookmarkEnd w:id="23"/>
    <w:bookmarkStart w:id="24" w:name="X1da6b86bc2f536a724621b81c0914613c7a4407"/>
    <w:p>
      <w:pPr>
        <w:pStyle w:val="Heading2"/>
      </w:pPr>
      <w:r>
        <w:t xml:space="preserve">3. Strategic Context: The United Kingdom Birmingham Ecosystem</w:t>
      </w:r>
    </w:p>
    <w:p>
      <w:pPr>
        <w:pStyle w:val="FirstParagraph"/>
      </w:pPr>
      <w:r>
        <w:t xml:space="preserve">To understand the necessity of this initiative, one must analyze the specific environment of United Kingdom Birmingham. This region is home to one of Europe’s largest single-site hospitals and a university that consistently ranks among the top globally for medical sciences. The synergy between these institutions creates a fertile ground for collaborative projects. However, the density of research activity also brings competition for funding and talent.</w:t>
      </w:r>
    </w:p>
    <w:p>
      <w:pPr>
        <w:numPr>
          <w:ilvl w:val="0"/>
          <w:numId w:val="1001"/>
        </w:numPr>
        <w:pStyle w:val="Compact"/>
      </w:pPr>
      <w:r>
        <w:rPr>
          <w:bCs/>
          <w:b/>
        </w:rPr>
        <w:t xml:space="preserve">Economic Impact:</w:t>
      </w:r>
      <w:r>
        <w:t xml:space="preserve"> </w:t>
      </w:r>
      <w:r>
        <w:t xml:space="preserve">Research drives economic growth in United Kingdom Birmingham through spin-off companies, patents, and enhanced healthcare efficiency.</w:t>
      </w:r>
    </w:p>
    <w:p>
      <w:pPr>
        <w:numPr>
          <w:ilvl w:val="0"/>
          <w:numId w:val="1001"/>
        </w:numPr>
        <w:pStyle w:val="Compact"/>
      </w:pPr>
      <w:r>
        <w:rPr>
          <w:bCs/>
          <w:b/>
        </w:rPr>
        <w:t xml:space="preserve">Clinical Need:</w:t>
      </w:r>
      <w:r>
        <w:t xml:space="preserve">Birmingham has a diverse population with varying health outcomes. A Medical Researcher is essential for developing culturally competent and scientifically robust interventions tailored to this demographic.</w:t>
      </w:r>
    </w:p>
    <w:p>
      <w:pPr>
        <w:numPr>
          <w:ilvl w:val="0"/>
          <w:numId w:val="1001"/>
        </w:numPr>
        <w:pStyle w:val="Compact"/>
      </w:pPr>
      <w:r>
        <w:rPr>
          <w:bCs/>
          <w:b/>
        </w:rPr>
        <w:t xml:space="preserve">Infrastructure:</w:t>
      </w:r>
      <w:r>
        <w:t xml:space="preserve"> </w:t>
      </w:r>
      <w:r>
        <w:t xml:space="preserve">The region boasts state-of-the-art facilities, including the National Centre for Avian and Poultry Infectious Diseases (NCAIPD) and various cancer research centers. Utilizing these resources requires a Medical Researcher workforce capable of operating at the highest technical standards.</w:t>
      </w:r>
    </w:p>
    <w:bookmarkEnd w:id="24"/>
    <w:bookmarkStart w:id="27" w:name="role-definition-the-medical-researcher"/>
    <w:p>
      <w:pPr>
        <w:pStyle w:val="Heading2"/>
      </w:pPr>
      <w:r>
        <w:t xml:space="preserve">4. Role Definition: The Medical Researcher</w:t>
      </w:r>
    </w:p>
    <w:p>
      <w:pPr>
        <w:pStyle w:val="FirstParagraph"/>
      </w:pPr>
      <w:r>
        <w:t xml:space="preserve">This Project Report defines the core responsibilities and qualifications required for the Medical Researcher position. Unlike traditional academic researchers, this role is hybrid, requiring both clinical insight and rigorous scientific methodology.</w:t>
      </w:r>
    </w:p>
    <w:bookmarkStart w:id="25" w:name="key-responsibilities"/>
    <w:p>
      <w:pPr>
        <w:pStyle w:val="Heading3"/>
      </w:pPr>
      <w:r>
        <w:t xml:space="preserve">4.1 Key Responsibilities</w:t>
      </w:r>
    </w:p>
    <w:p>
      <w:pPr>
        <w:numPr>
          <w:ilvl w:val="0"/>
          <w:numId w:val="1002"/>
        </w:numPr>
        <w:pStyle w:val="Compact"/>
      </w:pPr>
      <w:r>
        <w:rPr>
          <w:bCs/>
          <w:b/>
        </w:rPr>
        <w:t xml:space="preserve">Clinical Trial Management:</w:t>
      </w:r>
      <w:r>
        <w:t xml:space="preserve">The Medical Researcher will design and oversee Phase I-III clinical trials, ensuring compliance with Good Clinical Practice (GCP) standards.</w:t>
      </w:r>
    </w:p>
    <w:p>
      <w:pPr>
        <w:numPr>
          <w:ilvl w:val="0"/>
          <w:numId w:val="1002"/>
        </w:numPr>
        <w:pStyle w:val="Compact"/>
      </w:pPr>
      <w:r>
        <w:t xml:space="preserve">Data Analysis and Interpretation:Utilizing advanced statistical software to interpret complex biomedical data sets, translating raw data into actionable clinical insights.</w:t>
      </w:r>
    </w:p>
    <w:p>
      <w:pPr>
        <w:numPr>
          <w:ilvl w:val="0"/>
          <w:numId w:val="1002"/>
        </w:numPr>
        <w:pStyle w:val="Compact"/>
      </w:pPr>
      <w:r>
        <w:rPr>
          <w:bCs/>
          <w:b/>
        </w:rPr>
        <w:t xml:space="preserve">Publishing and Dissemination:</w:t>
      </w:r>
      <w:r>
        <w:t xml:space="preserve"> </w:t>
      </w:r>
      <w:r>
        <w:t xml:space="preserve">Leading the publication of peer-reviewed articles in high-impact journals, thereby raising the profile of United Kingdom Birmingham as a research leader.</w:t>
      </w:r>
    </w:p>
    <w:p>
      <w:pPr>
        <w:numPr>
          <w:ilvl w:val="0"/>
          <w:numId w:val="1002"/>
        </w:numPr>
        <w:pStyle w:val="Compact"/>
      </w:pPr>
      <w:r>
        <w:t xml:space="preserve">Mentorship:Training junior researchers, medical students, and clinical staff in evidence-based practices and research ethics.</w:t>
      </w:r>
    </w:p>
    <w:bookmarkEnd w:id="25"/>
    <w:bookmarkStart w:id="26" w:name="required-competencies"/>
    <w:p>
      <w:pPr>
        <w:pStyle w:val="Heading3"/>
      </w:pPr>
      <w:r>
        <w:t xml:space="preserve">4.2 Required Competencies</w:t>
      </w:r>
    </w:p>
    <w:p>
      <w:pPr>
        <w:pStyle w:val="FirstParagraph"/>
      </w:pPr>
      <w:r>
        <w:t xml:space="preserve">The successful candidate for the Medical Researcher role must possess a PhD or MD/PhD combination with specialized training in fields such as oncology, immunology, or epidemiology. Furthermore, familiarity with the regulatory frameworks governing health research in the United Kingdom is mandatory. This includes adherence to guidelines set by the Health Research Authority (HRA) and local ethics committees.</w:t>
      </w:r>
    </w:p>
    <w:bookmarkEnd w:id="26"/>
    <w:bookmarkEnd w:id="27"/>
    <w:bookmarkStart w:id="28" w:name="Xcfdb10e8875063caa58565b0b53317beb9d51b6"/>
    <w:p>
      <w:pPr>
        <w:pStyle w:val="Heading2"/>
      </w:pPr>
      <w:r>
        <w:t xml:space="preserve">5. Project Objectives and Key Performance Indicators (KPIs)</w:t>
      </w:r>
    </w:p>
    <w:p>
      <w:pPr>
        <w:pStyle w:val="FirstParagraph"/>
      </w:pPr>
      <w:r>
        <w:t xml:space="preserve">The success of this initiative will be measured against several key performance indicators over a three-year period. These metrics ensure that the investment in hiring Medical Researcher staff yields tangible benefits for United Kingdom Birmingham.</w:t>
      </w:r>
    </w:p>
    <w:p>
      <w:pPr>
        <w:pStyle w:val="BodyText"/>
      </w:pPr>
      <w:r>
        <w:t xml:space="preserve">KPI Category</w:t>
      </w:r>
    </w:p>
    <w:p>
      <w:pPr>
        <w:pStyle w:val="BodyText"/>
      </w:pPr>
      <w:r>
        <w:t xml:space="preserve">Description</w:t>
      </w:r>
    </w:p>
    <w:p>
      <w:pPr>
        <w:pStyle w:val="BodyText"/>
      </w:pPr>
      <w:r>
        <w:t xml:space="preserve">Target (Year 1-3)</w:t>
      </w:r>
    </w:p>
    <w:p>
      <w:pPr>
        <w:pStyle w:val="BodyText"/>
      </w:pPr>
      <w:r>
        <w:t xml:space="preserve">" class="footer"&gt;Target (Year 1-3)</w:t>
      </w:r>
    </w:p>
    <w:p>
      <w:pPr>
        <w:pStyle w:val="BodyText"/>
      </w:pPr>
      <w:r>
        <w:t xml:space="preserve">" class="footer"&gt;</w:t>
      </w:r>
    </w:p>
    <w:p>
      <w:pPr>
        <w:pStyle w:val="BodyText"/>
      </w:pPr>
      <w:r>
        <w:t xml:space="preserve">Publishing Output</w:t>
      </w:r>
    </w:p>
    <w:p>
      <w:pPr>
        <w:pStyle w:val="BodyText"/>
      </w:pPr>
      <w:r>
        <w:t xml:space="preserve">Number of high-impact peer-reviewed publications</w:t>
      </w:r>
    </w:p>
    <w:p>
      <w:pPr>
        <w:pStyle w:val="BodyText"/>
      </w:pPr>
      <w:r>
        <w:t xml:space="preserve">&gt;25 papers per annum</w:t>
      </w:r>
    </w:p>
    <w:p>
      <w:pPr>
        <w:pStyle w:val="BodyText"/>
      </w:pPr>
      <w:r>
        <w:t xml:space="preserve">" class="footer"&gt;Target (Year 1-3)</w:t>
      </w:r>
    </w:p>
    <w:p>
      <w:pPr>
        <w:pStyle w:val="BodyText"/>
      </w:pPr>
      <w:r>
        <w:t xml:space="preserve">" class="footer"&gt;</w:t>
      </w:r>
    </w:p>
    <w:p>
      <w:pPr>
        <w:pStyle w:val="BodyText"/>
      </w:pPr>
      <w:r>
        <w:t xml:space="preserve">Funding Acquisition</w:t>
      </w:r>
    </w:p>
    <w:p>
      <w:pPr>
        <w:pStyle w:val="BodyText"/>
      </w:pPr>
      <w:r>
        <w:t xml:space="preserve">Grants secured from MRC, NIHR, and private foundations</w:t>
      </w:r>
    </w:p>
    <w:p>
      <w:pPr>
        <w:pStyle w:val="BodyText"/>
      </w:pPr>
      <w:r>
        <w:t xml:space="preserve">&gt;£5 million cumulative over three years</w:t>
      </w:r>
    </w:p>
    <w:p>
      <w:pPr>
        <w:pStyle w:val="BodyText"/>
      </w:pPr>
      <w:r>
        <w:t xml:space="preserve">" class="footer"&gt;Target (Year 1-3)</w:t>
      </w:r>
    </w:p>
    <w:p>
      <w:pPr>
        <w:pStyle w:val="BodyText"/>
      </w:pPr>
      <w:r>
        <w:t xml:space="preserve">" class="footer"&gt;</w:t>
      </w:r>
    </w:p>
    <w:p>
      <w:pPr>
        <w:pStyle w:val="BodyText"/>
      </w:pPr>
      <w:r>
        <w:t xml:space="preserve">Clinical Translation</w:t>
      </w:r>
    </w:p>
    <w:p>
      <w:pPr>
        <w:pStyle w:val="BodyText"/>
      </w:pPr>
      <w:r>
        <w:t xml:space="preserve">New treatment protocols adopted by NHS trusts in United Kingdom Birmingham</w:t>
      </w:r>
    </w:p>
    <w:p>
      <w:pPr>
        <w:pStyle w:val="BodyText"/>
      </w:pPr>
      <w:r>
        <w:t xml:space="preserve">" class="footer"&gt;Target (Year 1-3)</w:t>
      </w:r>
    </w:p>
    <w:p>
      <w:pPr>
        <w:pStyle w:val="BodyText"/>
      </w:pPr>
      <w:r>
        <w:t xml:space="preserve">" class="footer"&gt;2 major protocol adoptions</w:t>
      </w:r>
    </w:p>
    <w:p>
      <w:pPr>
        <w:pStyle w:val="BodyText"/>
      </w:pPr>
      <w:r>
        <w:t xml:space="preserve">" class="footer"&gt;</w:t>
      </w:r>
    </w:p>
    <w:p>
      <w:pPr>
        <w:pStyle w:val="BodyText"/>
      </w:pPr>
      <w:r>
        <w:t xml:space="preserve">Talent Retention</w:t>
      </w:r>
    </w:p>
    <w:p>
      <w:pPr>
        <w:pStyle w:val="BodyText"/>
      </w:pPr>
      <w:r>
        <w:t xml:space="preserve">Retention rate of Medical Researcher staff</w:t>
      </w:r>
    </w:p>
    <w:p>
      <w:pPr>
        <w:pStyle w:val="BodyText"/>
      </w:pPr>
      <w:r>
        <w:t xml:space="preserve">" class="footer"&gt;Target (Year 1-3)</w:t>
      </w:r>
    </w:p>
    <w:p>
      <w:pPr>
        <w:pStyle w:val="BodyText"/>
      </w:pPr>
      <w:r>
        <w:t xml:space="preserve">" class="footer"&gt;&lt;85% annual retention rate</w:t>
      </w:r>
    </w:p>
    <w:p>
      <w:pPr>
        <w:pStyle w:val="BodyText"/>
      </w:pPr>
      <w:r>
        <w:t xml:space="preserve">" class="footer"&gt;</w:t>
      </w:r>
    </w:p>
    <w:bookmarkEnd w:id="28"/>
    <w:bookmarkStart w:id="29" w:name="challenges-and-risk-management"/>
    <w:p>
      <w:pPr>
        <w:pStyle w:val="Heading2"/>
      </w:pPr>
      <w:r>
        <w:t xml:space="preserve">6. Challenges and Risk Management</w:t>
      </w:r>
    </w:p>
    <w:p>
      <w:pPr>
        <w:pStyle w:val="FirstParagraph"/>
      </w:pPr>
      <w:r>
        <w:t xml:space="preserve">In executing this Project Report's recommendations, several challenges must be anticipated. The primary risk involves the retention of Medical Researcher talent against competition from London and Oxford-based institutions. To mitigate this, we propose competitive salary structures aligned with United Kingdom national pay scales for scientists, coupled with non-financial incentives such as dedicated lab space and reduced clinical duties.</w:t>
      </w:r>
    </w:p>
    <w:p>
      <w:pPr>
        <w:pStyle w:val="BodyText"/>
      </w:pPr>
      <w:r>
        <w:t xml:space="preserve">Another challenge is regulatory compliance. The evolving landscape of post-Brexit research collaboration requires Medical Researcher staff to be adept at navigating new border controls for biological samples. Training programs will be instituted to ensure that all staff are updated on current legal frameworks governing data sharing and material transfer agreements within the United Kingdom.</w:t>
      </w:r>
    </w:p>
    <w:bookmarkEnd w:id="29"/>
    <w:bookmarkStart w:id="30" w:name="conclusion-and-recommendations"/>
    <w:p>
      <w:pPr>
        <w:pStyle w:val="Heading2"/>
      </w:pPr>
      <w:r>
        <w:t xml:space="preserve">7. Conclusion and Recommendations</w:t>
      </w:r>
    </w:p>
    <w:p>
      <w:pPr>
        <w:pStyle w:val="FirstParagraph"/>
      </w:pPr>
      <w:r>
        <w:t xml:space="preserve">This Project Report concludes that the strategic hiring of Medical Researcher professionals is not only a logical next step but a necessary one for maintaining the competitive edge of United Kingdom Birmingham in the global health arena. By investing in human capital, we invest in the future health outcomes of millions and reinforce Birmingham’s status as a beacon of medical innovation.</w:t>
      </w:r>
    </w:p>
    <w:p>
      <w:pPr>
        <w:pStyle w:val="BodyText"/>
      </w:pPr>
      <w:r>
        <w:t xml:space="preserve">We recommend immediate approval for budget allocation to begin recruitment cycles targeting senior Medical Researcher positions with a focus on oncology and infectious diseases. Furthermore, we advise establishing a dedicated task force to streamline ethical approvals and procurement processes, ensuring that our Medical Researcher staff can operate with maximum efficiency. By acting decisively now, United Kingdom Birmingham will secure its legacy as a leader in medical science for decades to come.</w:t>
      </w:r>
    </w:p>
    <w:p>
      <w:pPr>
        <w:pStyle w:val="BodyText"/>
      </w:pPr>
      <w:r>
        <w:rPr>
          <w:bCs/>
          <w:b/>
        </w:rPr>
        <w:t xml:space="preserve">End of Project Report</w:t>
      </w:r>
    </w:p>
    <w:p>
      <w:pPr>
        <w:pStyle w:val="BodyText"/>
      </w:pPr>
      <w:r>
        <w:t xml:space="preserve">This document was prepared strictly in accordance with the requested formatting and linguistic guidelines.</w:t>
      </w:r>
    </w:p>
    <w:p>
      <w:pPr>
        <w:pStyle w:val="BodyText"/>
      </w:pPr>
      <w:r>
        <w:t xml:space="preserve">" class="footer"&gt;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Role in United Kingdom Birmingham</dc:title>
  <dc:creator/>
  <dc:language>en</dc:language>
  <cp:keywords/>
  <dcterms:created xsi:type="dcterms:W3CDTF">2026-07-29T20:53:10Z</dcterms:created>
  <dcterms:modified xsi:type="dcterms:W3CDTF">2026-07-29T20:53:10Z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