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6e2d734fa9f6c70c0c2f892039bd00b8f42fe87"/>
    <w:p>
      <w:pPr>
        <w:pStyle w:val="Heading1"/>
      </w:pPr>
      <w:r>
        <w:t xml:space="preserve">Confidential</w:t>
      </w:r>
      <w:r>
        <w:br/>
      </w:r>
      <w:r>
        <w:t xml:space="preserve">Project Report: Medical Researcher Initiative in United Kingdom London</w:t>
      </w:r>
    </w:p>
    <w:p>
      <w:pPr>
        <w:pStyle w:val="FirstParagraph"/>
      </w:pPr>
      <w:r>
        <w:t xml:space="preserve">Date: October 26, 2023</w:t>
      </w:r>
      <w:r>
        <w:br/>
      </w:r>
      <w:r>
        <w:t xml:space="preserve">Prepared For: The Health Innovation Board of United Kingdom London</w:t>
      </w:r>
      <w:r>
        <w:br/>
      </w:r>
      <w:r>
        <w:t xml:space="preserve">Prepared By: Strategic Planning Committee</w:t>
      </w:r>
    </w:p>
    <w:bookmarkEnd w:id="20"/>
    <w:bookmarkStart w:id="21" w:name="executive-summary"/>
    <w:p>
      <w:pPr>
        <w:pStyle w:val="Heading4"/>
      </w:pPr>
      <w:r>
        <w:t xml:space="preserve">Executive Summary</w:t>
      </w:r>
    </w:p>
    <w:p>
      <w:pPr>
        <w:pStyle w:val="FirstParagraph"/>
      </w:pPr>
      <w:r>
        <w:t xml:space="preserve">This Project Report outlines the comprehensive framework for the establishment and operational integration of a new Medical Researcher hub within the heart of United Kingdom London. As a global epicenter for biomedical innovation, United Kingdom London provides an unparalleled ecosystem for scientific discovery, clinical trials, and translational medicine. The primary objective of this initiative is to leverage the dense concentration of academic excellence found in institutions such as Imperial College London and University College London (UCL), combined with the regulatory oversight provided by local health authorities. This report details the strategic rationale, operational structure, financial projections, and ethical considerations necessary to deploy a highly specialized Medical Researcher workforce that will drive forward healthcare outcomes specifically tailored to the demographics of United Kingdom London.</w:t>
      </w:r>
    </w:p>
    <w:bookmarkEnd w:id="21"/>
    <w:bookmarkStart w:id="22" w:name="introduction-and-context"/>
    <w:p>
      <w:pPr>
        <w:pStyle w:val="Heading4"/>
      </w:pPr>
      <w:r>
        <w:t xml:space="preserve">1. Introduction and Context</w:t>
      </w:r>
    </w:p>
    <w:p>
      <w:pPr>
        <w:pStyle w:val="FirstParagraph"/>
      </w:pPr>
      <w:r>
        <w:t xml:space="preserve">The demand for advanced medical interventions in urban centers like United Kingdom London has never been higher. With a population exceeding 9 million people, the capital city faces unique public health challenges ranging from respiratory issues linked to urban density to an aging population requiring complex chronic disease management. It is within this specific context that the role of a Medical Researcher becomes critical. Unlike traditional clinical roles, a Medical Researcher in United Kingdom London is tasked with bridging the gap between laboratory bench findings and bedside applications.</w:t>
      </w:r>
    </w:p>
    <w:p>
      <w:pPr>
        <w:pStyle w:val="BodyText"/>
      </w:pPr>
      <w:r>
        <w:t xml:space="preserve">The significance of placing these researchers in United Kingdom London cannot be overstated. The city serves as a nexus for international collaboration, hosting diverse genetic populations that are essential for ensuring medical treatments are effective across varied demographics. Furthermore, proximity to leading hospitals allows for immediate clinical validation of research hypotheses, a logistical advantage that is central to the success of this project.</w:t>
      </w:r>
    </w:p>
    <w:bookmarkEnd w:id="22"/>
    <w:bookmarkStart w:id="23" w:name="scope-of-work-and-role-definition"/>
    <w:p>
      <w:pPr>
        <w:pStyle w:val="Heading4"/>
      </w:pPr>
      <w:r>
        <w:t xml:space="preserve">2. Scope of Work and Role Definition</w:t>
      </w:r>
    </w:p>
    <w:p>
      <w:pPr>
        <w:pStyle w:val="FirstParagraph"/>
      </w:pPr>
      <w:r>
        <w:t xml:space="preserve">The core responsibility assigned to each Medical Researcher in this initiative involves conducting rigorous experimental studies, analyzing large datasets generated by electronic health records in United Kingdom London, and publishing findings in peer-reviewed journals. The scope includes:</w:t>
      </w:r>
    </w:p>
    <w:p>
      <w:pPr>
        <w:numPr>
          <w:ilvl w:val="0"/>
          <w:numId w:val="1001"/>
        </w:numPr>
        <w:pStyle w:val="Compact"/>
      </w:pPr>
      <w:r>
        <w:rPr>
          <w:bCs/>
          <w:b/>
        </w:rPr>
        <w:t xml:space="preserve">Clinical Trial Management:</w:t>
      </w:r>
      <w:r>
        <w:t xml:space="preserve"> </w:t>
      </w:r>
      <w:r>
        <w:t xml:space="preserve">Designing and overseeing Phase II and III clinical trials within partner hospitals across United Kingdom London.</w:t>
      </w:r>
    </w:p>
    <w:p>
      <w:pPr>
        <w:numPr>
          <w:ilvl w:val="0"/>
          <w:numId w:val="1001"/>
        </w:numPr>
        <w:pStyle w:val="Compact"/>
      </w:pPr>
      <w:r>
        <w:rPr>
          <w:bCs/>
          <w:b/>
        </w:rPr>
        <w:t xml:space="preserve">Data Analysis:</w:t>
      </w:r>
    </w:p>
    <w:p>
      <w:pPr>
        <w:numPr>
          <w:ilvl w:val="0"/>
          <w:numId w:val="1001"/>
        </w:numPr>
        <w:pStyle w:val="Compact"/>
      </w:pPr>
      <w:r>
        <w:rPr>
          <w:bCs/>
          <w:b/>
        </w:rPr>
        <w:t xml:space="preserve">Cross-Institutional Collaboration:</w:t>
      </w:r>
      <w:r>
        <w:t xml:space="preserve"> </w:t>
      </w:r>
      <w:r>
        <w:t xml:space="preserve">Facilitating knowledge exchange between university laboratories and NHS trusts located in United Kingdom London.</w:t>
      </w:r>
    </w:p>
    <w:p>
      <w:pPr>
        <w:numPr>
          <w:ilvl w:val="0"/>
          <w:numId w:val="1001"/>
        </w:numPr>
        <w:pStyle w:val="Compact"/>
      </w:pPr>
      <w:r>
        <w:t xml:space="preserve">Funding Acquisition:: Securing grants from bodies such as the Medical Research Council (MRC) which heavily invests in research conducted within United Kingdom London.</w:t>
      </w:r>
    </w:p>
    <w:p>
      <w:pPr>
        <w:pStyle w:val="FirstParagraph"/>
      </w:pPr>
      <w:r>
        <w:rPr>
          <w:bCs/>
          <w:b/>
        </w:rPr>
        <w:t xml:space="preserve">Note on Regulatory Compliance:</w:t>
      </w:r>
      <w:r>
        <w:t xml:space="preserve">All Medical Researcher activities must adhere strictly to the guidelines set forth by the Health Research Authority (HRA) and comply with UK General Data Protection Regulation (UK GDPR), ensuring patient privacy is maintained throughout all research conducted in United Kingdom London.</w:t>
      </w:r>
    </w:p>
    <w:bookmarkEnd w:id="23"/>
    <w:bookmarkStart w:id="24" w:name="strategic-location-advantages"/>
    <w:p>
      <w:pPr>
        <w:pStyle w:val="Heading4"/>
      </w:pPr>
      <w:r>
        <w:t xml:space="preserve">3. Strategic Location Advantages</w:t>
      </w:r>
    </w:p>
    <w:p>
      <w:pPr>
        <w:pStyle w:val="FirstParagraph"/>
      </w:pPr>
      <w:r>
        <w:t xml:space="preserve">Selecting United Kingdom London as the operational base offers distinct competitive advantages. First, the concentration of talent is unmatched; researchers have direct access to world-class postgraduate programs and networking events held regularly in the city. Second, funding opportunities are abundant, with numerous private biotech firms headquartered in areas such as Biomedical Campus near St Thomas’ Hospital having strong ties to United Kingdom London.</w:t>
      </w:r>
    </w:p>
    <w:p>
      <w:pPr>
        <w:pStyle w:val="BodyText"/>
      </w:pPr>
      <w:r>
        <w:t xml:space="preserve">Additionally, the infrastructure for digital health research is robust. High-speed connectivity and secure data centers available throughout United Kingdom London enable real-time collaboration with international partners, allowing Medical Researcher teams to contribute to global health initiatives while focusing on local implementation strategies.</w:t>
      </w:r>
    </w:p>
    <w:bookmarkEnd w:id="24"/>
    <w:bookmarkStart w:id="25" w:name="X8c485bf2398b5564c91d72d123e110ce24f126e"/>
    <w:p>
      <w:pPr>
        <w:pStyle w:val="Heading4"/>
      </w:pPr>
      <w:r>
        <w:t xml:space="preserve">4. Operational Challenges and Mitigation Strategies</w:t>
      </w:r>
    </w:p>
    <w:p>
      <w:pPr>
        <w:pStyle w:val="FirstParagraph"/>
      </w:pPr>
      <w:r>
        <w:t xml:space="preserve">Despite the advantages, operating a high-level research unit in United Kingdom London presents certain challenges. The cost of living and operational overheads in this part of United Kingdom London are among the highest globally. To mitigate these financial pressures, the project will adopt a hybrid workspace model where administrative functions are shared services across partner institutions.</w:t>
      </w:r>
    </w:p>
    <w:p>
      <w:pPr>
        <w:pStyle w:val="BodyText"/>
      </w:pPr>
      <w:r>
        <w:t xml:space="preserve">Another challenge is regulatory bureaucracy. Navigating ethics committees in multiple trusts within United Kingdom London can be time-consuming. To address this, we will establish a centralized Ethics Liaison Office dedicated to streamlining approval processes for Medical Researcher projects, ensuring that compliance does not stifle scientific innovation.</w:t>
      </w:r>
    </w:p>
    <w:bookmarkEnd w:id="25"/>
    <w:bookmarkStart w:id="26" w:name="X15afb7a37338d4343d0a86cbceaf8ac9da60289"/>
    <w:p>
      <w:pPr>
        <w:pStyle w:val="Heading4"/>
      </w:pPr>
      <w:r>
        <w:t xml:space="preserve">5. Financial Projections and Resource Allocation</w:t>
      </w:r>
    </w:p>
    <w:p>
      <w:pPr>
        <w:pStyle w:val="FirstParagraph"/>
      </w:pPr>
      <w:r>
        <w:t xml:space="preserve">The initial capital expenditure for setting up the research infrastructure in United Kingdom London is estimated at £15 million, covering laboratory equipment, secure servers for data storage, and initial staff recruitment costs. Annual operating expenses are projected to increase by 8% year-over-year due to inflationary pressures specific to the United Kingdom London market.</w:t>
      </w:r>
    </w:p>
    <w:p>
      <w:pPr>
        <w:pStyle w:val="BodyText"/>
      </w:pPr>
      <w:r>
        <w:t xml:space="preserve">Revenue streams will be diversified through government grants (40%), pharmaceutical industry partnerships (35%), and private philanthropy (25%). It is anticipated that break-even will occur within four years, driven by successful patent licensing agreements resulting from the work of Medical Researcher teams in United Kingdom London.</w:t>
      </w:r>
    </w:p>
    <w:bookmarkEnd w:id="26"/>
    <w:bookmarkStart w:id="27" w:name="ethical-considerations-and-social-impact"/>
    <w:p>
      <w:pPr>
        <w:pStyle w:val="Heading4"/>
      </w:pPr>
      <w:r>
        <w:t xml:space="preserve">6. Ethical Considerations and Social Impact</w:t>
      </w:r>
    </w:p>
    <w:p>
      <w:pPr>
        <w:pStyle w:val="FirstParagraph"/>
      </w:pPr>
      <w:r>
        <w:t xml:space="preserve">Ethics lie at the forefront of all activities involving a Medical Researcher. We are committed to maintaining the highest standards of integrity, particularly given the public trust placed in healthcare systems across United Kingdom London. Transparency in reporting results, both positive and negative, is mandatory. Furthermore, we aim to ensure that research outcomes benefit all communities within United Kingdom London, not just those with easy access to top-tier hospitals.</w:t>
      </w:r>
    </w:p>
    <w:bookmarkEnd w:id="27"/>
    <w:bookmarkStart w:id="28" w:name="conclusion"/>
    <w:p>
      <w:pPr>
        <w:pStyle w:val="Heading4"/>
      </w:pPr>
      <w:r>
        <w:t xml:space="preserve">7. Conclusion</w:t>
      </w:r>
    </w:p>
    <w:p>
      <w:pPr>
        <w:pStyle w:val="FirstParagraph"/>
      </w:pPr>
      <w:r>
        <w:t xml:space="preserve">In conclusion, the establishment of a dedicated Medical Researcher program in United Kingdom London represents a strategic investment in the future of public health. By capitalizing on the unique academic and industrial landscape of United Kingdom London, we can accelerate medical discoveries that improve quality of life for millions. This Project Report serves as the blueprint for execution, ensuring that every step taken by our Medical Researcher staff aligns with the broader goals of healthcare excellence in United Kingdom London.</w:t>
      </w:r>
    </w:p>
    <w:p>
      <w:pPr>
        <w:pStyle w:val="BodyText"/>
      </w:pPr>
      <w:r>
        <w:t xml:space="preserve">We recommend immediate approval to commence Phase 1 recruitment and facility preparation.</w:t>
      </w:r>
    </w:p>
    <w:bookmarkEnd w:id="28"/>
    <w:p>
      <w:pPr>
        <w:pStyle w:val="BodyText"/>
      </w:pPr>
      <w:r>
        <w:t xml:space="preserve">© 2023 Health Innovation Board. All Rights Reserved.</w:t>
      </w:r>
      <w:r>
        <w:br/>
      </w:r>
      <w:r>
        <w:t xml:space="preserve">Document Classification: Internal Use Only | United Kingdom London Division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 United Kingdom London</dc:title>
  <dc:creator/>
  <dc:language>en</dc:language>
  <cp:keywords/>
  <dcterms:created xsi:type="dcterms:W3CDTF">2026-07-29T19:20:28Z</dcterms:created>
  <dcterms:modified xsi:type="dcterms:W3CDTF">2026-07-29T19:20:28Z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