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Advancing</w:t>
      </w:r>
      <w:r>
        <w:t xml:space="preserve"> </w:t>
      </w:r>
      <w:r>
        <w:t xml:space="preserve">Medical</w:t>
      </w:r>
      <w:r>
        <w:t xml:space="preserve"> </w:t>
      </w:r>
      <w:r>
        <w:t xml:space="preserve">Excellence</w:t>
      </w:r>
      <w:r>
        <w:t xml:space="preserve"> </w:t>
      </w:r>
      <w:r>
        <w:t xml:space="preserve">in</w:t>
      </w:r>
      <w:r>
        <w:t xml:space="preserve"> </w:t>
      </w:r>
      <w:r>
        <w:t xml:space="preserve">the</w:t>
      </w:r>
      <w:r>
        <w:t xml:space="preserve"> </w:t>
      </w:r>
      <w:r>
        <w:t xml:space="preserve">Greater</w:t>
      </w:r>
      <w:r>
        <w:t xml:space="preserve"> </w:t>
      </w:r>
      <w:r>
        <w:t xml:space="preserve">Houston</w:t>
      </w:r>
      <w:r>
        <w:t xml:space="preserve"> </w:t>
      </w:r>
      <w:r>
        <w:t xml:space="preserve">Region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Board of Directors, Texas Medical Center Oversight Committee</w:t>
      </w:r>
    </w:p>
    <w:p>
      <w:pPr>
        <w:pStyle w:val="BodyText"/>
      </w:pPr>
      <w:r>
        <w:rPr>
          <w:bCs/>
          <w:b/>
        </w:rPr>
        <w:t xml:space="preserve">From:</w:t>
      </w:r>
      <w:r>
        <w:t xml:space="preserve"> </w:t>
      </w:r>
      <w:r>
        <w:t xml:space="preserve">Strategic Planning Department</w:t>
      </w:r>
    </w:p>
    <w:bookmarkStart w:id="20" w:name="Xa59d710682c076107ef50c7e57d02915691b4da"/>
    <w:p>
      <w:pPr>
        <w:pStyle w:val="Heading1"/>
      </w:pPr>
      <w:r>
        <w:t xml:space="preserve">Project Report: Strategic Initiatives for Medical Research Integration in the United States, Houston Metropolitan Area</w:t>
      </w:r>
    </w:p>
    <w:bookmarkEnd w:id="20"/>
    <w:p>
      <w:pPr>
        <w:pStyle w:val="FirstParagraph"/>
      </w:pPr>
      <w:r>
        <w:rPr>
          <w:bCs/>
          <w:b/>
        </w:rPr>
        <w:t xml:space="preserve">Executive Summary</w:t>
      </w:r>
    </w:p>
    <w:p>
      <w:pPr>
        <w:pStyle w:val="BodyText"/>
      </w:pPr>
      <w:r>
        <w:t xml:space="preserve">The purpose of this Project Report is to outline a comprehensive framework for enhancing medical research capabilities within the United States, specifically focusing on the dynamic healthcare ecosystem of Houston, Texas. As one of the most significant hubs for medical innovation globally, Houston serves as a critical testing ground for new therapeutic protocols and biomedical technologies. This document details the strategic objectives, operational challenges, and anticipated outcomes associated with expanding our Researcher initiatives in this region. By leveraging the unique infrastructure provided by the Texas Medical Center (TMC) and collaborating with local academic institutions such as Rice University and Baylor College of Medicine, we aim to solidify Houston’s position as a premier destination for high-impact medical discovery.</w:t>
      </w:r>
    </w:p>
    <w:bookmarkStart w:id="21" w:name="introduction-and-context"/>
    <w:p>
      <w:pPr>
        <w:pStyle w:val="Heading2"/>
      </w:pPr>
      <w:r>
        <w:t xml:space="preserve">1. Introduction and Context</w:t>
      </w:r>
    </w:p>
    <w:p>
      <w:pPr>
        <w:pStyle w:val="FirstParagraph"/>
      </w:pPr>
      <w:r>
        <w:t xml:space="preserve">The landscape of modern medicine is evolving rapidly, driven by advancements in genomics, artificial intelligence, and personalized medicine. In the United States, the demand for efficient clinical trials and rigorous scientific inquiry has never been higher. Houston stands at the forefront of this revolution. As a global leader in healthcare delivery and research, Houston offers an unparalleled environment for a Medical Researcher to conduct groundbreaking work. This Project Report emphasizes the necessity of aligning our national goals with local opportunities within this vibrant city. The integration of federal funding with local industry partnerships creates a synergistic effect that accelerates the translation of laboratory discoveries into patient care solutions.</w:t>
      </w:r>
    </w:p>
    <w:bookmarkEnd w:id="21"/>
    <w:bookmarkStart w:id="22" w:name="strategic-objectives"/>
    <w:p>
      <w:pPr>
        <w:pStyle w:val="Heading2"/>
      </w:pPr>
      <w:r>
        <w:t xml:space="preserve">2. Strategic Objectives</w:t>
      </w:r>
    </w:p>
    <w:p>
      <w:pPr>
        <w:pStyle w:val="FirstParagraph"/>
      </w:pPr>
      <w:r>
        <w:t xml:space="preserve">The primary objectives outlined in this Project Report are multifaceted, designed to address both immediate research needs and long-term institutional growth:</w:t>
      </w:r>
    </w:p>
    <w:p>
      <w:pPr>
        <w:numPr>
          <w:ilvl w:val="0"/>
          <w:numId w:val="1001"/>
        </w:numPr>
        <w:pStyle w:val="Compact"/>
      </w:pPr>
      <w:r>
        <w:rPr>
          <w:bCs/>
          <w:b/>
        </w:rPr>
        <w:t xml:space="preserve">Clinical Trial Expansion:</w:t>
      </w:r>
      <w:r>
        <w:t xml:space="preserve">To increase the number of Phase I through IV clinical trials conducted in Houston by 25% over the next three years. This initiative requires robust recruitment strategies targeting diverse patient populations.</w:t>
      </w:r>
    </w:p>
    <w:p>
      <w:pPr>
        <w:numPr>
          <w:ilvl w:val="0"/>
          <w:numId w:val="1001"/>
        </w:numPr>
        <w:pStyle w:val="Compact"/>
      </w:pPr>
      <w:r>
        <w:rPr>
          <w:bCs/>
          <w:b/>
        </w:rPr>
        <w:t xml:space="preserve">Interdisciplinary Collaboration:</w:t>
      </w:r>
      <w:r>
        <w:t xml:space="preserve">Fostering partnerships between private biotech firms, non-profit research institutes, and academic centers. A Medical Researcher benefits significantly from access to shared resources and multidisciplinary teams.</w:t>
      </w:r>
    </w:p>
    <w:p>
      <w:pPr>
        <w:numPr>
          <w:ilvl w:val="0"/>
          <w:numId w:val="1001"/>
        </w:numPr>
        <w:pStyle w:val="Compact"/>
      </w:pPr>
      <w:r>
        <w:rPr>
          <w:bCs/>
          <w:b/>
        </w:rPr>
        <w:t xml:space="preserve">Talent Acquisition and Retention:</w:t>
      </w:r>
      <w:r>
        <w:t xml:space="preserve">Establishing fellowship programs that attract top-tier scientific talent from across the United States. Houston’s cost of living compared to other major medical hubs like Boston or San Francisco offers a competitive advantage in retaining researchers.</w:t>
      </w:r>
    </w:p>
    <w:p>
      <w:pPr>
        <w:numPr>
          <w:ilvl w:val="0"/>
          <w:numId w:val="1001"/>
        </w:numPr>
        <w:pStyle w:val="Compact"/>
      </w:pPr>
      <w:r>
        <w:rPr>
          <w:bCs/>
          <w:b/>
        </w:rPr>
        <w:t xml:space="preserve">Digital Health Integration:</w:t>
      </w:r>
      <w:r>
        <w:t xml:space="preserve">Implementing advanced data analytics platforms to streamline patient data management, ensuring compliance with HIPAA regulations while maximizing research efficiency.</w:t>
      </w:r>
    </w:p>
    <w:bookmarkEnd w:id="22"/>
    <w:bookmarkStart w:id="23" w:name="X9c155890c29c7ca684024c13329faf99a7ffbe3"/>
    <w:p>
      <w:pPr>
        <w:pStyle w:val="Heading2"/>
      </w:pPr>
      <w:r>
        <w:t xml:space="preserve">3. The Houston Ecosystem: A Hub for Innovation</w:t>
      </w:r>
    </w:p>
    <w:p>
      <w:pPr>
        <w:pStyle w:val="FirstParagraph"/>
      </w:pPr>
      <w:r>
        <w:t xml:space="preserve">Houston is home to the Texas Medical Center, the largest concentration of healthcare and research institutions in the world. This dense network provides a unique advantage for any Medical Researcher operating in this sector. The proximity of institutions such as MD Anderson Cancer Center, Memorial Hermann-Texas Children’s Hospital, and the University of Texas Health Science Center at Houston facilitates rapid knowledge exchange.</w:t>
      </w:r>
    </w:p>
    <w:p>
      <w:pPr>
        <w:pStyle w:val="BodyText"/>
      </w:pPr>
      <w:r>
        <w:t xml:space="preserve">Furthermore, the city’s economic diversity supports a thriving biotechnology sector. Start-ups in areas like regenerative medicine and neurotechnology are flourishing. This Project Report highlights that engaging with these local entities is not merely optional but essential for staying at the cutting edge of scientific inquiry. The collaborative spirit inherent in Houston’s medical community ensures that researchers have access to state-of-the-art facilities, from advanced imaging centers to high-throughput sequencing labs.</w:t>
      </w:r>
    </w:p>
    <w:bookmarkEnd w:id="23"/>
    <w:bookmarkStart w:id="27" w:name="operational-framework-and-methodology"/>
    <w:p>
      <w:pPr>
        <w:pStyle w:val="Heading2"/>
      </w:pPr>
      <w:r>
        <w:t xml:space="preserve">4. Operational Framework and Methodology</w:t>
      </w:r>
    </w:p>
    <w:p>
      <w:pPr>
        <w:pStyle w:val="FirstParagraph"/>
      </w:pPr>
      <w:r>
        <w:t xml:space="preserve">To achieve the objectives set forth in this Project Report, we propose a phased implementation strategy:</w:t>
      </w:r>
    </w:p>
    <w:bookmarkStart w:id="24" w:name="X93094b8078675b1858fbd426d90d6f4a3f8ed8a"/>
    <w:p>
      <w:pPr>
        <w:pStyle w:val="Heading3"/>
      </w:pPr>
      <w:r>
        <w:t xml:space="preserve">Phase 1: Infrastructure Assessment (Months 1-6)</w:t>
      </w:r>
    </w:p>
    <w:p>
      <w:pPr>
        <w:pStyle w:val="FirstParagraph"/>
      </w:pPr>
      <w:r>
        <w:t xml:space="preserve">Conduct a thorough audit of existing research facilities in Houston to identify gaps in capacity and technology. This phase involves stakeholder meetings with hospital administrators and university deans.</w:t>
      </w:r>
    </w:p>
    <w:bookmarkEnd w:id="24"/>
    <w:bookmarkStart w:id="25" w:name="X6de3c16264d323b050f37d2319b4888ded85eca"/>
    <w:p>
      <w:pPr>
        <w:pStyle w:val="Heading3"/>
      </w:pPr>
      <w:r>
        <w:t xml:space="preserve">Phase 2: Partnership Development (Months 7-12)</w:t>
      </w:r>
    </w:p>
    <w:p>
      <w:pPr>
        <w:pStyle w:val="FirstParagraph"/>
      </w:pPr>
      <w:r>
        <w:t xml:space="preserve">Formalize agreements with key partners. This includes signing memorandums of understanding (MOUs) that define data-sharing protocols, intellectual property rights, and collaborative research timelines. For a Medical Researcher, clear legal frameworks are crucial for protecting innovations while fostering open science.</w:t>
      </w:r>
    </w:p>
    <w:bookmarkEnd w:id="25"/>
    <w:bookmarkStart w:id="26" w:name="Xc783cc77f1c97c17d8769fcd650a68ce7c8d989"/>
    <w:p>
      <w:pPr>
        <w:pStyle w:val="Heading3"/>
      </w:pPr>
      <w:r>
        <w:t xml:space="preserve">Phase 3: Pilot Studies Launch (Months 13-18)</w:t>
      </w:r>
    </w:p>
    <w:p>
      <w:pPr>
        <w:pStyle w:val="FirstParagraph"/>
      </w:pPr>
      <w:r>
        <w:t xml:space="preserve">Initiate pilot studies in high-priority areas such as oncology and infectious diseases. These studies will serve as proof-of-concept models for larger, multi-site trials across the United States.</w:t>
      </w:r>
    </w:p>
    <w:bookmarkEnd w:id="26"/>
    <w:bookmarkEnd w:id="27"/>
    <w:bookmarkStart w:id="28" w:name="challenges-and-mitigation-strategies"/>
    <w:p>
      <w:pPr>
        <w:pStyle w:val="Heading2"/>
      </w:pPr>
      <w:r>
        <w:t xml:space="preserve">5. Challenges and Mitigation Strategies</w:t>
      </w:r>
    </w:p>
    <w:p>
      <w:pPr>
        <w:pStyle w:val="FirstParagraph"/>
      </w:pPr>
      <w:r>
        <w:t xml:space="preserve">Despite the promising outlook, several challenges must be addressed in this Project Report. Regulatory hurdles remain a significant barrier. Navigating the complex web of FDA regulations while adhering to local Texas health codes requires dedicated compliance teams.</w:t>
      </w:r>
    </w:p>
    <w:p>
      <w:pPr>
        <w:pStyle w:val="BodyText"/>
      </w:pPr>
      <w:r>
        <w:t xml:space="preserve">Another challenge is patient recruitment diversity. Houston’s population is incredibly diverse, offering rich data potential, but building trust within minority communities takes time and culturally competent outreach efforts. We plan to mitigate this by employing community liaisons who can bridge the gap between researchers and patients. Additionally, competition for talent is fierce in the United States medical sector. To retain skilled Medical Researcher professionals, we will offer competitive compensation packages that include research grants, sabbatical opportunities, and access to continuous education.</w:t>
      </w:r>
    </w:p>
    <w:bookmarkEnd w:id="28"/>
    <w:bookmarkStart w:id="29" w:name="expected-outcomes-and-impact"/>
    <w:p>
      <w:pPr>
        <w:pStyle w:val="Heading2"/>
      </w:pPr>
      <w:r>
        <w:t xml:space="preserve">6. Expected Outcomes and Impact</w:t>
      </w:r>
    </w:p>
    <w:p>
      <w:pPr>
        <w:pStyle w:val="FirstParagraph"/>
      </w:pPr>
      <w:r>
        <w:t xml:space="preserve">The successful execution of this Project Report’s initiatives will yield substantial benefits for the healthcare system in Houston and beyond. We anticipate a reduction in the time-to-market for new therapeutic interventions by an estimated 15-20%. Furthermore, the increased presence of Medical Researcher programs in Houston will stimulate local economic growth through job creation and increased federal funding influx.</w:t>
      </w:r>
    </w:p>
    <w:p>
      <w:pPr>
        <w:pStyle w:val="BodyText"/>
      </w:pPr>
      <w:r>
        <w:t xml:space="preserve">Socially, improved research outcomes mean better health metrics for the population. By focusing on prevalent conditions in the region, such as cardiovascular disease and diabetes, we can directly impact public health statistics. The data generated from these studies will contribute to the global body of medical knowledge, reinforcing the United States’ leadership in biomedical science.</w:t>
      </w:r>
    </w:p>
    <w:bookmarkEnd w:id="29"/>
    <w:bookmarkStart w:id="30" w:name="conclusion"/>
    <w:p>
      <w:pPr>
        <w:pStyle w:val="Heading2"/>
      </w:pPr>
      <w:r>
        <w:t xml:space="preserve">7. Conclusion</w:t>
      </w:r>
    </w:p>
    <w:p>
      <w:pPr>
        <w:pStyle w:val="FirstParagraph"/>
      </w:pPr>
      <w:r>
        <w:t xml:space="preserve">In conclusion, this Project Report underscores the strategic importance of strengthening medical research operations in Houston. The city offers a unique confluence of academic excellence, clinical volume, and industrial innovation that is unmatched elsewhere in the United States. By investing in these initiatives, we empower Medical Researcher professionals to push the boundaries of what is possible in healthcare. This document serves as a roadmap for transforming theoretical ambitions into tangible health improvements for communities across the nation.</w:t>
      </w:r>
    </w:p>
    <w:p>
      <w:pPr>
        <w:pStyle w:val="BodyText"/>
      </w:pPr>
      <w:r>
        <w:t xml:space="preserve">We recommend immediate approval of the budget allocations proposed herein to commence Phase 1 activities. The window of opportunity to capitalize on Houston’s growth trajectory is open, and decisive action is required to secure our position at the forefront of medical discovery.</w:t>
      </w:r>
    </w:p>
    <w:bookmarkEnd w:id="30"/>
    <w:bookmarkStart w:id="31" w:name="recommendations"/>
    <w:p>
      <w:pPr>
        <w:pStyle w:val="Heading2"/>
      </w:pPr>
      <w:r>
        <w:t xml:space="preserve">8. Recommendations</w:t>
      </w:r>
    </w:p>
    <w:p>
      <w:pPr>
        <w:pStyle w:val="FirstParagraph"/>
      </w:pPr>
      <w:r>
        <w:t xml:space="preserve">Based on the analysis presented in this Project Report, it is recommended that the Board:</w:t>
      </w:r>
    </w:p>
    <w:p>
      <w:pPr>
        <w:numPr>
          <w:ilvl w:val="0"/>
          <w:numId w:val="1002"/>
        </w:numPr>
        <w:pStyle w:val="Compact"/>
      </w:pPr>
      <w:r>
        <w:t xml:space="preserve">Approve the initial funding for infrastructure assessment.</w:t>
      </w:r>
    </w:p>
    <w:p>
      <w:pPr>
        <w:numPr>
          <w:ilvl w:val="0"/>
          <w:numId w:val="1002"/>
        </w:numPr>
        <w:pStyle w:val="Compact"/>
      </w:pPr>
      <w:r>
        <w:t xml:space="preserve">Acknowledge a dedicated project manager to oversee Houston-based operations.</w:t>
      </w:r>
    </w:p>
    <w:p>
      <w:pPr>
        <w:numPr>
          <w:ilvl w:val="0"/>
          <w:numId w:val="1002"/>
        </w:numPr>
        <w:pStyle w:val="Compact"/>
      </w:pPr>
      <w:r>
        <w:t xml:space="preserve">Schedule quarterly review meetings to monitor progress against the milestones defined in this report.</w:t>
      </w:r>
    </w:p>
    <w:p>
      <w:pPr>
        <w:pStyle w:val="FirstParagraph"/>
      </w:pPr>
      <w:r>
        <w:t xml:space="preserve">This Project Report affirms that by focusing on these key areas, we will not only advance scientific knowledge but also honor our commitment to improving human health through rigorous, compassionate, and innovative Medical Researcher practices in the heart of Texas.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Advancing Medical Excellence in the Greater Houston Region</dc:title>
  <dc:creator/>
  <cp:keywords/>
  <dcterms:created xsi:type="dcterms:W3CDTF">2026-07-30T00:34:28Z</dcterms:created>
  <dcterms:modified xsi:type="dcterms:W3CDTF">2026-07-30T00:34:28Z</dcterms:modified>
</cp:coreProperties>
</file>

<file path=docProps/custom.xml><?xml version="1.0" encoding="utf-8"?>
<Properties xmlns="http://schemas.openxmlformats.org/officeDocument/2006/custom-properties" xmlns:vt="http://schemas.openxmlformats.org/officeDocument/2006/docPropsVTypes"/>
</file>