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Advancing</w:t>
      </w:r>
      <w:r>
        <w:t xml:space="preserve"> </w:t>
      </w:r>
      <w:r>
        <w:t xml:space="preserve">Healthcare</w:t>
      </w:r>
      <w:r>
        <w:t xml:space="preserve"> </w:t>
      </w:r>
      <w:r>
        <w:t xml:space="preserve">Innovation</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0" w:name="X21fa9c82c77063c7ef275b7e72dabc44edc3b98"/>
    <w:p>
      <w:pPr>
        <w:pStyle w:val="Heading1"/>
      </w:pPr>
      <w:r>
        <w:t xml:space="preserve">Project Report: Strategic Framework for Medical Researcher Deployment and Initiative Success in United States Los Angeles</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Board of Directors, Global Health Initiatives</w:t>
      </w:r>
      <w:r>
        <w:br/>
      </w:r>
      <w:r>
        <w:rPr>
          <w:bCs/>
          <w:b/>
        </w:rPr>
        <w:t xml:space="preserve">From:</w:t>
      </w:r>
      <w:r>
        <w:t xml:space="preserve"> </w:t>
      </w:r>
      <w:r>
        <w:t xml:space="preserve">Project Management Office</w:t>
      </w:r>
      <w:r>
        <w:br/>
      </w:r>
    </w:p>
    <w:bookmarkEnd w:id="20"/>
    <w:bookmarkStart w:id="21" w:name="executive-summary"/>
    <w:p>
      <w:pPr>
        <w:pStyle w:val="Heading2"/>
      </w:pPr>
      <w:r>
        <w:t xml:space="preserve">1. Executive Summary</w:t>
      </w:r>
    </w:p>
    <w:p>
      <w:pPr>
        <w:pStyle w:val="FirstParagraph"/>
      </w:pPr>
      <w:r>
        <w:t xml:space="preserve">This project report outlines the strategic implementation, operational challenges, and projected outcomes of deploying a dedicated team of</w:t>
      </w:r>
      <w:r>
        <w:t xml:space="preserve"> </w:t>
      </w:r>
      <w:r>
        <w:rPr>
          <w:bCs/>
          <w:b/>
        </w:rPr>
        <w:t xml:space="preserve">Medical Researcher</w:t>
      </w:r>
      <w:r>
        <w:t xml:space="preserve"> </w:t>
      </w:r>
      <w:r>
        <w:t xml:space="preserve">specialists within the vibrant and complex healthcare ecosystem of</w:t>
      </w:r>
      <w:r>
        <w:t xml:space="preserve"> </w:t>
      </w:r>
      <w:r>
        <w:rPr>
          <w:bCs/>
          <w:b/>
        </w:rPr>
        <w:t xml:space="preserve">United States Los Angeles</w:t>
      </w:r>
      <w:r>
        <w:t xml:space="preserve">. As one of the most diverse metropolitan areas in North America, Los Angeles presents unique opportunities and distinct challenges for biomedical innovation. The primary objective of this initiative is to accelerate clinical trials, enhance public health data analytics, and foster collaborative research networks that address specific demographic health disparities found within</w:t>
      </w:r>
      <w:r>
        <w:t xml:space="preserve"> </w:t>
      </w:r>
      <w:r>
        <w:rPr>
          <w:bCs/>
          <w:b/>
        </w:rPr>
        <w:t xml:space="preserve">United States Los Angeles</w:t>
      </w:r>
      <w:r>
        <w:t xml:space="preserve">. By positioning our</w:t>
      </w:r>
      <w:r>
        <w:t xml:space="preserve"> </w:t>
      </w:r>
      <w:r>
        <w:rPr>
          <w:bCs/>
          <w:b/>
        </w:rPr>
        <w:t xml:space="preserve">Medical Researcher</w:t>
      </w:r>
      <w:r>
        <w:t xml:space="preserve"> </w:t>
      </w:r>
      <w:r>
        <w:t xml:space="preserve">assets effectively, we aim to set a new standard for translational medicine in the region.</w:t>
      </w:r>
    </w:p>
    <w:bookmarkEnd w:id="21"/>
    <w:bookmarkStart w:id="22" w:name="background-and-context"/>
    <w:p>
      <w:pPr>
        <w:pStyle w:val="Heading2"/>
      </w:pPr>
      <w:r>
        <w:t xml:space="preserve">2. Background and Context</w:t>
      </w:r>
    </w:p>
    <w:p>
      <w:pPr>
        <w:pStyle w:val="FirstParagraph"/>
      </w:pPr>
      <w:r>
        <w:t xml:space="preserve">The healthcare landscape in the city of Los Angeles is characterized by a high concentration of world-class academic medical centers, including institutions affiliated with UCLA and USC. However, despite this infrastructure, significant gaps remain in patient access to cutting-edge treatments and the representation of minority populations in clinical data sets. The role of a</w:t>
      </w:r>
      <w:r>
        <w:t xml:space="preserve"> </w:t>
      </w:r>
      <w:r>
        <w:rPr>
          <w:bCs/>
          <w:b/>
        </w:rPr>
        <w:t xml:space="preserve">Medical Researcher</w:t>
      </w:r>
      <w:r>
        <w:t xml:space="preserve"> </w:t>
      </w:r>
      <w:r>
        <w:t xml:space="preserve">has evolved from purely observational duties to becoming a critical node in digital health integration and community engagement.</w:t>
      </w:r>
    </w:p>
    <w:p>
      <w:pPr>
        <w:pStyle w:val="BodyText"/>
      </w:pPr>
      <w:r>
        <w:t xml:space="preserve">In</w:t>
      </w:r>
      <w:r>
        <w:t xml:space="preserve"> </w:t>
      </w:r>
      <w:r>
        <w:rPr>
          <w:bCs/>
          <w:b/>
        </w:rPr>
        <w:t xml:space="preserve">United States Los Angeles</w:t>
      </w:r>
      <w:r>
        <w:t xml:space="preserve">, the intersection of entertainment technology, biotechnology, and traditional medicine creates a unique environment for innovation. This project seeks to leverage that synergy. The historical data indicates that without targeted intervention by specialized</w:t>
      </w:r>
      <w:r>
        <w:t xml:space="preserve"> </w:t>
      </w:r>
      <w:r>
        <w:rPr>
          <w:bCs/>
          <w:b/>
        </w:rPr>
        <w:t xml:space="preserve">Medical Researcher</w:t>
      </w:r>
      <w:r>
        <w:t xml:space="preserve"> </w:t>
      </w:r>
      <w:r>
        <w:t xml:space="preserve">personnel, health outcomes in underserved communities within</w:t>
      </w:r>
      <w:r>
        <w:t xml:space="preserve"> </w:t>
      </w:r>
      <w:r>
        <w:rPr>
          <w:bCs/>
          <w:b/>
        </w:rPr>
        <w:t xml:space="preserve">United States Los Angeles</w:t>
      </w:r>
      <w:r>
        <w:t xml:space="preserve"> </w:t>
      </w:r>
      <w:r>
        <w:t xml:space="preserve">continue to lag behind state averages. Therefore, this report details the roadmap for integrating these professionals into existing hospital networks and independent research facilities.</w:t>
      </w:r>
    </w:p>
    <w:bookmarkEnd w:id="22"/>
    <w:bookmarkStart w:id="24" w:name="X93d1e3372f17bf41a379a457300ebef88323818"/>
    <w:p>
      <w:pPr>
        <w:pStyle w:val="Heading2"/>
      </w:pPr>
      <w:r>
        <w:t xml:space="preserve">3. Objectives of the Medical Researcher Initiative</w:t>
      </w:r>
    </w:p>
    <w:p>
      <w:pPr>
        <w:pStyle w:val="FirstParagraph"/>
      </w:pPr>
      <w:r>
        <w:t xml:space="preserve">The deployment of the</w:t>
      </w:r>
      <w:r>
        <w:t xml:space="preserve"> </w:t>
      </w:r>
      <w:r>
        <w:rPr>
          <w:bCs/>
          <w:b/>
        </w:rPr>
        <w:t xml:space="preserve">Medical Researcher</w:t>
      </w:r>
      <w:r>
        <w:t xml:space="preserve"> </w:t>
      </w:r>
      <w:r>
        <w:t xml:space="preserve">team in</w:t>
      </w:r>
      <w:r>
        <w:t xml:space="preserve"> </w:t>
      </w:r>
      <w:r>
        <w:rPr>
          <w:bCs/>
          <w:b/>
        </w:rPr>
        <w:t xml:space="preserve">United States Los Angeles</w:t>
      </w:r>
    </w:p>
    <w:p>
      <w:pPr>
        <w:numPr>
          <w:ilvl w:val="0"/>
          <w:numId w:val="1001"/>
        </w:numPr>
        <w:pStyle w:val="Compact"/>
      </w:pPr>
      <w:r>
        <w:rPr>
          <w:bCs/>
          <w:b/>
        </w:rPr>
        <w:t xml:space="preserve">Clinical Trial Acceleration:</w:t>
      </w:r>
      <w:r>
        <w:t xml:space="preserve"> </w:t>
      </w:r>
      <w:r>
        <w:t xml:space="preserve">Reduce the timeline for patient recruitment and data collection by 30% within the first year of operation in</w:t>
      </w:r>
      <w:r>
        <w:t xml:space="preserve"> </w:t>
      </w:r>
      <w:r>
        <w:rPr>
          <w:bCs/>
          <w:b/>
        </w:rPr>
        <w:t xml:space="preserve">United States Los Angeles</w:t>
      </w:r>
      <w:r>
        <w:t xml:space="preserve">. This requires</w:t>
      </w:r>
      <w:r>
        <w:t xml:space="preserve"> </w:t>
      </w:r>
      <w:r>
        <w:rPr>
          <w:bCs/>
          <w:b/>
        </w:rPr>
        <w:t xml:space="preserve">Medical Researcher</w:t>
      </w:r>
      <w:r>
        <w:t xml:space="preserve"> </w:t>
      </w:r>
      <w:r>
        <w:t xml:space="preserve">staff to utilize advanced AI-driven matching algorithms.</w:t>
      </w:r>
    </w:p>
    <w:p>
      <w:pPr>
        <w:numPr>
          <w:ilvl w:val="0"/>
          <w:numId w:val="1001"/>
        </w:numPr>
        <w:pStyle w:val="Compact"/>
      </w:pPr>
      <w:r>
        <w:rPr>
          <w:bCs/>
          <w:b/>
        </w:rPr>
        <w:t xml:space="preserve">Diversity and Inclusion in Data:</w:t>
      </w:r>
      <w:r>
        <w:t xml:space="preserve"> </w:t>
      </w:r>
      <w:r>
        <w:t xml:space="preserve">Ensure that all research conducted by the assigned</w:t>
      </w:r>
    </w:p>
    <w:p>
      <w:pPr>
        <w:numPr>
          <w:ilvl w:val="0"/>
          <w:numId w:val="1000"/>
        </w:numPr>
        <w:pStyle w:val="Compact"/>
      </w:pPr>
      <w:r>
        <w:t xml:space="preserve">Medical Researcher teams reflects the demographic diversity of</w:t>
      </w:r>
    </w:p>
    <w:p>
      <w:pPr>
        <w:numPr>
          <w:ilvl w:val="0"/>
          <w:numId w:val="1000"/>
        </w:numPr>
        <w:pStyle w:val="Compact"/>
      </w:pPr>
      <w:r>
        <w:t xml:space="preserve">. This involves targeted outreach and culturally competent study design.</w:t>
      </w:r>
    </w:p>
    <w:p>
      <w:pPr>
        <w:numPr>
          <w:ilvl w:val="0"/>
          <w:numId w:val="1001"/>
        </w:numPr>
        <w:pStyle w:val="Compact"/>
      </w:pPr>
      <w:r>
        <w:t xml:space="preserve">Medical Researcher adheres to federal FDA guidelines as well as local California health regulations specific to the region of United States Los Angeles.</w:t>
      </w:r>
    </w:p>
    <w:p>
      <w:pPr>
        <w:pStyle w:val="FirstParagraph"/>
      </w:pPr>
      <w:r>
        <w:t xml:space="preserve">4. Methodology and Operational StrategyThe successful execution of this project relies on a multi-phased approach designed specifically for the logistical realities of</w:t>
      </w:r>
      <w:r>
        <w:t xml:space="preserve"> </w:t>
      </w:r>
      <w:r>
        <w:rPr>
          <w:bCs/>
          <w:b/>
        </w:rPr>
        <w:t xml:space="preserve">United States Los Angeles</w:t>
      </w:r>
      <w:r>
        <w:t xml:space="preserve">.</w:t>
      </w:r>
    </w:p>
    <w:bookmarkStart w:id="23" w:name="phase-i-infrastructure-and-recruitment"/>
    <w:p>
      <w:pPr>
        <w:pStyle w:val="Heading3"/>
      </w:pPr>
      <w:r>
        <w:t xml:space="preserve">4.1 Phase I: Infrastructure and Recruitment</w:t>
      </w:r>
    </w:p>
    <w:p>
      <w:pPr>
        <w:pStyle w:val="FirstParagraph"/>
      </w:pPr>
      <w:r>
        <w:t xml:space="preserve">The first phase involves the establishment of local hubs in key districts such as Downtown, Koreatown, and South Los Angeles. Each hub will be staffed by senior</w:t>
      </w:r>
    </w:p>
    <w:p>
      <w:pPr>
        <w:pStyle w:val="BodyText"/>
      </w:pPr>
      <w:r>
        <w:t xml:space="preserve">Medical Researcher leads who possess not only clinical expertise but also linguistic capabilities relevant to the local population of</w:t>
      </w:r>
      <w:r>
        <w:t xml:space="preserve"> </w:t>
      </w:r>
      <w:r>
        <w:rPr>
          <w:bCs/>
          <w:b/>
        </w:rPr>
        <w:t xml:space="preserve">United States Los Angeles</w:t>
      </w:r>
      <w:r>
        <w:t xml:space="preserve">. We are prioritizing the hiring of</w:t>
      </w:r>
    </w:p>
    <w:p>
      <w:pPr>
        <w:pStyle w:val="BodyText"/>
      </w:pPr>
      <w:r>
        <w:t xml:space="preserve">Medical Researcher candidates who have prior experience in urban, high-density healthcare environments.</w:t>
      </w:r>
    </w:p>
    <w:p>
      <w:pPr>
        <w:pStyle w:val="BodyText"/>
      </w:pPr>
      <w:r>
        <w:t xml:space="preserve">4.2 Phase II: Digital Integration</w:t>
      </w:r>
    </w:p>
    <w:p>
      <w:pPr>
        <w:pStyle w:val="BodyText"/>
      </w:pPr>
      <w:r>
        <w:t xml:space="preserve">A significant portion of the budget is allocated to interoperability solutions. The</w:t>
      </w:r>
    </w:p>
    <w:p>
      <w:pPr>
        <w:pStyle w:val="BodyText"/>
      </w:pPr>
      <w:r>
        <w:t xml:space="preserve">Medical Researcher workflows must seamlessly integrate with Electronic Health Records (EHR) systems used by major hospitals in</w:t>
      </w:r>
      <w:r>
        <w:t xml:space="preserve"> </w:t>
      </w:r>
      <w:r>
        <w:rPr>
          <w:bCs/>
          <w:b/>
        </w:rPr>
        <w:t xml:space="preserve">United States Los Angeles</w:t>
      </w:r>
      <w:r>
        <w:t xml:space="preserve">. This integration allows for real-time data sharing, reducing administrative burden on the researcher and improving patient safety.</w:t>
      </w:r>
    </w:p>
    <w:p>
      <w:pPr>
        <w:pStyle w:val="BodyText"/>
      </w:pPr>
      <w:r>
        <w:t xml:space="preserve">4.3 Phase III: Community Engagement and Education</w:t>
      </w:r>
    </w:p>
    <w:p>
      <w:pPr>
        <w:pStyle w:val="BodyText"/>
      </w:pPr>
      <w:r>
        <w:t xml:space="preserve">In</w:t>
      </w:r>
    </w:p>
    <w:p>
      <w:pPr>
        <w:pStyle w:val="BodyText"/>
      </w:pPr>
      <w:r>
        <w:t xml:space="preserve">United States Los Angeles, trust is a critical currency in healthcare. Our</w:t>
      </w:r>
    </w:p>
    <w:p>
      <w:pPr>
        <w:pStyle w:val="BodyText"/>
      </w:pPr>
      <w:r>
        <w:t xml:space="preserve">Medical Researcher teams will conduct town halls, webinars, and partnership workshops with local community leaders. This ensures that the research being conducted is perceived as beneficial to the residents of United States Los Angeles, thereby increasing participation rates in ongoing studies.</w:t>
      </w:r>
    </w:p>
    <w:p>
      <w:pPr>
        <w:pStyle w:val="BodyText"/>
      </w:pPr>
      <w:r>
        <w:t xml:space="preserve">5. Resource Allocation and Budget Overview</w:t>
      </w:r>
    </w:p>
    <w:p>
      <w:pPr>
        <w:pStyle w:val="BodyText"/>
      </w:pPr>
      <w:r>
        <w:t xml:space="preserve">The financial framework for this project is substantial, reflecting the high cost of living and operational expenses associated with</w:t>
      </w:r>
      <w:r>
        <w:t xml:space="preserve"> </w:t>
      </w:r>
      <w:r>
        <w:rPr>
          <w:bCs/>
          <w:b/>
        </w:rPr>
        <w:t xml:space="preserve">United States Los Angeles</w:t>
      </w:r>
      <w:r>
        <w:t xml:space="preserve">. Key budgetary items include:</w:t>
      </w:r>
    </w:p>
    <w:p>
      <w:pPr>
        <w:pStyle w:val="BodyText"/>
      </w:pPr>
      <w:r>
        <w:rPr>
          <w:bCs/>
          <w:b/>
        </w:rPr>
        <w:t xml:space="preserve">Category</w:t>
      </w:r>
    </w:p>
    <w:p>
      <w:pPr>
        <w:pStyle w:val="BodyText"/>
      </w:pPr>
      <w:r>
        <w:rPr>
          <w:bCs/>
          <w:b/>
        </w:rPr>
        <w:t xml:space="preserve">Description</w:t>
      </w:r>
      <w:r>
        <w:t xml:space="preserve">28%$162,175.99</w:t>
      </w:r>
    </w:p>
    <w:p>
      <w:pPr>
        <w:pStyle w:val="BodyText"/>
      </w:pPr>
      <w:r>
        <w:rPr>
          <w:bCs/>
          <w:b/>
        </w:rPr>
        <w:t xml:space="preserve">Total Estimated Budget</w:t>
      </w:r>
      <w:r>
        <w:t xml:space="preserve">17%$221,163.99</w:t>
      </w:r>
    </w:p>
    <w:p>
      <w:pPr>
        <w:pStyle w:val="BodyText"/>
      </w:pPr>
      <w:r>
        <w:rPr>
          <w:bCs/>
          <w:b/>
        </w:rPr>
        <w:t xml:space="preserve">Total Estimated Budget</w:t>
      </w:r>
      <w:r>
        <w:t xml:space="preserve">25%$1,273,999.96</w:t>
      </w:r>
    </w:p>
    <w:p>
      <w:pPr>
        <w:pStyle w:val="BodyText"/>
      </w:pPr>
      <w:r>
        <w:rPr>
          <w:bCs/>
          <w:b/>
        </w:rPr>
        <w:t xml:space="preserve">Total Project Cost</w:t>
      </w:r>
      <w:r>
        <w:t xml:space="preserve">10%$17,693.99</w:t>
      </w:r>
    </w:p>
    <w:p>
      <w:pPr>
        <w:pStyle w:val="BodyText"/>
      </w:pPr>
      <w:r>
        <w:rPr>
          <w:bCs/>
          <w:b/>
        </w:rPr>
        <w:t xml:space="preserve">Total Project Cost</w:t>
      </w:r>
      <w:r>
        <w:t xml:space="preserve">100% of 1,273,999.96</w:t>
      </w:r>
    </w:p>
    <w:bookmarkEnd w:id="23"/>
    <w:bookmarkEnd w:id="24"/>
    <w:bookmarkStart w:id="25" w:name="risk-management"/>
    <w:p>
      <w:pPr>
        <w:pStyle w:val="Heading2"/>
      </w:pPr>
      <w:r>
        <w:t xml:space="preserve">6. Risk Management</w:t>
      </w:r>
    </w:p>
    <w:p>
      <w:pPr>
        <w:pStyle w:val="FirstParagraph"/>
      </w:pPr>
      <w:r>
        <w:t xml:space="preserve">The project faces several risks inherent to operating in</w:t>
      </w:r>
      <w:r>
        <w:t xml:space="preserve"> </w:t>
      </w:r>
      <w:r>
        <w:rPr>
          <w:bCs/>
          <w:b/>
        </w:rPr>
        <w:t xml:space="preserve">United States Los Angeles</w:t>
      </w:r>
      <w:r>
        <w:t xml:space="preserve">. These include regulatory changes at the state level, potential labor shortages for specialized</w:t>
      </w:r>
    </w:p>
    <w:p>
      <w:pPr>
        <w:pStyle w:val="BodyText"/>
      </w:pPr>
      <w:r>
        <w:t xml:space="preserve">Medical Researcher roles, and public skepticism regarding medical data privacy. To mitigate these, we have established a dedicated compliance officer role and created a contingency fund for rapid recruitment if staffing levels drop below critical thresholds in United States Los Angeles.</w:t>
      </w:r>
    </w:p>
    <w:p>
      <w:pPr>
        <w:pStyle w:val="BodyText"/>
      </w:pPr>
      <w:r>
        <w:t xml:space="preserve">7. Expected Outcomes and Impact</w:t>
      </w:r>
    </w:p>
    <w:p>
      <w:pPr>
        <w:pStyle w:val="BodyText"/>
      </w:pPr>
      <w:r>
        <w:t xml:space="preserve">Upon full implementation in</w:t>
      </w:r>
      <w:r>
        <w:t xml:space="preserve"> </w:t>
      </w:r>
      <w:r>
        <w:rPr>
          <w:bCs/>
          <w:b/>
        </w:rPr>
        <w:t xml:space="preserve">United States Los Angeles</w:t>
      </w:r>
      <w:r>
        <w:t xml:space="preserve">, the project is expected to yield significant measurable impacts. We anticipate a 40% increase in patient enrollment for Phase II and III trials within the first eighteen months. Furthermore, the data generated by our</w:t>
      </w:r>
    </w:p>
    <w:p>
      <w:pPr>
        <w:pStyle w:val="BodyText"/>
      </w:pPr>
      <w:r>
        <w:t xml:space="preserve">Medical Researcher teams will provide unprecedented insights into health trends specific to urban populations, offering valuable intellectual property for future pharmaceutical developments.</w:t>
      </w:r>
    </w:p>
    <w:p>
      <w:pPr>
        <w:pStyle w:val="BodyText"/>
      </w:pPr>
      <w:r>
        <w:t xml:space="preserve">8. Conclusion</w:t>
      </w:r>
    </w:p>
    <w:p>
      <w:pPr>
        <w:pStyle w:val="BodyText"/>
      </w:pPr>
      <w:r>
        <w:t xml:space="preserve">The integration of specialized</w:t>
      </w:r>
    </w:p>
    <w:p>
      <w:pPr>
        <w:pStyle w:val="BodyText"/>
      </w:pPr>
      <w:r>
        <w:t xml:space="preserve">Medical Researcher capabilities into the healthcare fabric of United States Los Angeles is not merely an operational expansion but a strategic imperative. By addressing local health disparities, leveraging technological innovation, and fostering community trust, this project will establish United States Los Angeles as a global hub for ethical and effective medical research. The success of this initiative will serve as a model for other metropolitan areas seeking to optimize their biomedical research output while maintaining the highest standards of patient care.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Advancing Healthcare Innovation in United States Los Angeles</dc:title>
  <dc:creator/>
  <cp:keywords/>
  <dcterms:created xsi:type="dcterms:W3CDTF">2026-07-30T10:10:05Z</dcterms:created>
  <dcterms:modified xsi:type="dcterms:W3CDTF">2026-07-30T10:10:05Z</dcterms:modified>
</cp:coreProperties>
</file>

<file path=docProps/custom.xml><?xml version="1.0" encoding="utf-8"?>
<Properties xmlns="http://schemas.openxmlformats.org/officeDocument/2006/custom-properties" xmlns:vt="http://schemas.openxmlformats.org/officeDocument/2006/docPropsVTypes"/>
</file>