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Tashkent</w:t>
      </w:r>
    </w:p>
    <w:bookmarkStart w:id="32" w:name="project-report"/>
    <w:p>
      <w:pPr>
        <w:pStyle w:val="Heading1"/>
      </w:pPr>
      <w:r>
        <w:t xml:space="preserve">Project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Ministry of Health and The National Commission on Science and Technology, Republic of Uzbekistan</w:t>
      </w:r>
    </w:p>
    <w:p>
      <w:pPr>
        <w:pStyle w:val="BodyText"/>
      </w:pPr>
      <w:r>
        <w:rPr>
          <w:bCs/>
          <w:b/>
        </w:rPr>
        <w:t xml:space="preserve">The Project Management Office (PMO)</w:t>
      </w:r>
    </w:p>
    <w:bookmarkStart w:id="20" w:name="executive-summary"/>
    <w:p>
      <w:pPr>
        <w:pStyle w:val="Heading2"/>
      </w:pPr>
      <w:r>
        <w:t xml:space="preserve">Executive Summary</w:t>
      </w:r>
    </w:p>
    <w:p>
      <w:pPr>
        <w:pStyle w:val="FirstParagraph"/>
      </w:pPr>
      <w:r>
        <w:t xml:space="preserve">This Project Report outlines the strategic implementation, current status, and future objectives of the specialized Medical Researcher program designed specifically for Uzbekistan Tashkent. As a pivotal hub for Central Asian healthcare innovation, Tashkent presents unique opportunities to elevate regional medical standards through rigorous scientific inquiry. This document details how integrating high-level Medical Researcher roles within local institutions will address critical public health challenges, foster international collaboration, and drive economic growth through biotechnological advancement.</w:t>
      </w:r>
    </w:p>
    <w:bookmarkEnd w:id="20"/>
    <w:bookmarkStart w:id="21" w:name="introduction-and-background"/>
    <w:p>
      <w:pPr>
        <w:pStyle w:val="Heading2"/>
      </w:pPr>
      <w:r>
        <w:t xml:space="preserve">1. Introduction and Background</w:t>
      </w:r>
    </w:p>
    <w:p>
      <w:pPr>
        <w:pStyle w:val="FirstParagraph"/>
      </w:pPr>
      <w:r>
        <w:t xml:space="preserve">The healthcare landscape in Uzbekistan is undergoing a significant transformation aimed at modernization and increased accessibility. Central to this transformation is the city of Tashkent, which serves as the administrative, cultural, and scientific heart of the nation. Recognizing that sustainable healthcare improvements rely not only on clinical practice but also on evidence-based discovery, this Project Report focuses on establishing a robust framework for Medical Researcher activities.</w:t>
      </w:r>
    </w:p>
    <w:p>
      <w:pPr>
        <w:pStyle w:val="BodyText"/>
      </w:pPr>
      <w:r>
        <w:t xml:space="preserve">The primary objective is to cultivate a cohort of highly skilled Medical Researcher professionals who can conduct clinical trials, epidemiological studies, and biomedical engineering projects tailored to the specific needs of the population in Uzbekistan Tashkent. By focusing resources here, we aim to create a model that can later be replicated across other regions of Uzbekistan.</w:t>
      </w:r>
    </w:p>
    <w:bookmarkEnd w:id="21"/>
    <w:bookmarkStart w:id="22" w:name="strategic-objectives"/>
    <w:p>
      <w:pPr>
        <w:pStyle w:val="Heading2"/>
      </w:pPr>
      <w:r>
        <w:t xml:space="preserve">2. Strategic Objectives</w:t>
      </w:r>
    </w:p>
    <w:p>
      <w:pPr>
        <w:pStyle w:val="FirstParagraph"/>
      </w:pPr>
      <w:r>
        <w:t xml:space="preserve">The initiative is guided by three core pillars, each designed to enhance the efficacy of Medical Researcher output within Tashkent:</w:t>
      </w:r>
    </w:p>
    <w:p>
      <w:pPr>
        <w:numPr>
          <w:ilvl w:val="0"/>
          <w:numId w:val="1001"/>
        </w:numPr>
        <w:pStyle w:val="Compact"/>
      </w:pPr>
      <w:r>
        <w:rPr>
          <w:bCs/>
          <w:b/>
        </w:rPr>
        <w:t xml:space="preserve">Epidemiological Precision:</w:t>
      </w:r>
      <w:r>
        <w:t xml:space="preserve"> </w:t>
      </w:r>
      <w:r>
        <w:t xml:space="preserve">To identify prevalent genetic and environmental health factors specific to the demographics of Uzbekistan Tashkent. This involves longitudinal studies on non-communicable diseases such as cardiovascular conditions and diabetes, which are rising in urban centers.</w:t>
      </w:r>
    </w:p>
    <w:p>
      <w:pPr>
        <w:numPr>
          <w:ilvl w:val="0"/>
          <w:numId w:val="1001"/>
        </w:numPr>
        <w:pStyle w:val="Compact"/>
      </w:pPr>
      <w:r>
        <w:rPr>
          <w:bCs/>
          <w:b/>
        </w:rPr>
        <w:t xml:space="preserve">Infrastructure Modernization:</w:t>
      </w:r>
      <w:r>
        <w:t xml:space="preserve"> </w:t>
      </w:r>
      <w:r>
        <w:t xml:space="preserve">To upgrade laboratory facilities in Tashkent’s leading medical universities to meet International Committee of Medical Journal Editors (ICMJE) standards, thereby empowering Medical Researcher staff with the tools necessary for high-impact publications and discoveries.</w:t>
      </w:r>
    </w:p>
    <w:p>
      <w:pPr>
        <w:numPr>
          <w:ilvl w:val="0"/>
          <w:numId w:val="1001"/>
        </w:numPr>
        <w:pStyle w:val="Compact"/>
      </w:pPr>
      <w:r>
        <w:rPr>
          <w:bCs/>
          <w:b/>
        </w:rPr>
        <w:t xml:space="preserve">Global Integration:</w:t>
      </w:r>
      <w:r>
        <w:t xml:space="preserve"> </w:t>
      </w:r>
      <w:r>
        <w:t xml:space="preserve">To forge partnerships with international research bodies, allowing local Medical Researcher experts in Uzbekistan Tashkent to participate in multi-center global clinical trials while bringing global best practices back home.</w:t>
      </w:r>
    </w:p>
    <w:bookmarkEnd w:id="22"/>
    <w:bookmarkStart w:id="26" w:name="Xdd3e0786f0cd9750885b9c38458b7d474a0ac86"/>
    <w:p>
      <w:pPr>
        <w:pStyle w:val="Heading2"/>
      </w:pPr>
      <w:r>
        <w:t xml:space="preserve">3. Scope of Work for Medical Researcher Roles</w:t>
      </w:r>
    </w:p>
    <w:p>
      <w:pPr>
        <w:pStyle w:val="FirstParagraph"/>
      </w:pPr>
      <w:r>
        <w:t xml:space="preserve">The role of the Medical Researcher is defined by a comprehensive scope that bridges basic science and clinical application. In the context of Uzbekistan Tashkent, these professionals are expected to:</w:t>
      </w:r>
    </w:p>
    <w:bookmarkStart w:id="23" w:name="clinical-trial-management"/>
    <w:p>
      <w:pPr>
        <w:pStyle w:val="Heading3"/>
      </w:pPr>
      <w:r>
        <w:t xml:space="preserve">3.1 Clinical Trial Management</w:t>
      </w:r>
    </w:p>
    <w:p>
      <w:pPr>
        <w:pStyle w:val="FirstParagraph"/>
      </w:pPr>
      <w:r>
        <w:t xml:space="preserve">Medical Researcher personnel will lead Phase II and III clinical trials for new pharmaceuticals developed specifically for Central Asian genetic profiles. Given the unique genetic diversity in this region of Uzbekistan, generic applications of Western medical protocols are often insufficient. The Medical Researcher must adapt trials to ensure safety and efficacy for the local population in Tashkent.</w:t>
      </w:r>
    </w:p>
    <w:bookmarkEnd w:id="23"/>
    <w:bookmarkStart w:id="24" w:name="data-analytics-and-bioinformatics"/>
    <w:p>
      <w:pPr>
        <w:pStyle w:val="Heading3"/>
      </w:pPr>
      <w:r>
        <w:t xml:space="preserve">3.2 Data Analytics and Bioinformatics</w:t>
      </w:r>
    </w:p>
    <w:p>
      <w:pPr>
        <w:pStyle w:val="FirstParagraph"/>
      </w:pPr>
      <w:r>
        <w:t xml:space="preserve">A significant portion of the budget is allocated to training Medical Researcher staff in advanced data analytics. In Tashkent, where digital health records are increasingly being implemented, the ability to parse large datasets for trends in public health is crucial. The Medical Researcher will utilize machine learning algorithms to predict disease outbreaks and optimize resource allocation in hospitals.</w:t>
      </w:r>
    </w:p>
    <w:bookmarkEnd w:id="24"/>
    <w:bookmarkStart w:id="25" w:name="public-health-policy-advisory"/>
    <w:p>
      <w:pPr>
        <w:pStyle w:val="Heading3"/>
      </w:pPr>
      <w:r>
        <w:t xml:space="preserve">3.3 Public Health Policy Advisory</w:t>
      </w:r>
    </w:p>
    <w:p>
      <w:pPr>
        <w:pStyle w:val="FirstParagraph"/>
      </w:pPr>
      <w:r>
        <w:t xml:space="preserve">Beyond the laboratory, Medical Researcher experts will serve as advisors to the Tashkent City Hall and national health ministries. Their findings will directly influence policy decisions regarding vaccination campaigns, sanitation improvements, and lifestyle education programs tailored to urban residents.</w:t>
      </w:r>
    </w:p>
    <w:bookmarkEnd w:id="25"/>
    <w:bookmarkEnd w:id="26"/>
    <w:bookmarkStart w:id="27" w:name="X967a11173473e5cc93ff9cb99a2b77378a1fb12"/>
    <w:p>
      <w:pPr>
        <w:pStyle w:val="Heading2"/>
      </w:pPr>
      <w:r>
        <w:t xml:space="preserve">4. Implementation Strategy in Uzbekistan Tashkent</w:t>
      </w:r>
    </w:p>
    <w:p>
      <w:pPr>
        <w:pStyle w:val="FirstParagraph"/>
      </w:pPr>
      <w:r>
        <w:t xml:space="preserve">The rollout of this project follows a phased approach centered in the capital city.</w:t>
      </w:r>
    </w:p>
    <w:p>
      <w:pPr>
        <w:numPr>
          <w:ilvl w:val="0"/>
          <w:numId w:val="1002"/>
        </w:numPr>
        <w:pStyle w:val="Compact"/>
      </w:pPr>
      <w:r>
        <w:rPr>
          <w:bCs/>
          <w:b/>
        </w:rPr>
        <w:t xml:space="preserve">Phase One: Infrastructure Audit (Months 1-3):</w:t>
      </w:r>
    </w:p>
    <w:p>
      <w:pPr>
        <w:numPr>
          <w:ilvl w:val="0"/>
          <w:numId w:val="1004"/>
        </w:numPr>
        <w:pStyle w:val="Compact"/>
      </w:pPr>
      <w:r>
        <w:rPr>
          <w:bCs/>
          <w:b/>
        </w:rPr>
        <w:t xml:space="preserve">Phase Two: Recruitment and Training (Months 4-9):</w:t>
      </w:r>
    </w:p>
    <w:p>
      <w:pPr>
        <w:pStyle w:val="FirstParagraph"/>
      </w:pPr>
      <w:r>
        <w:t xml:space="preserve">We will recruit top-tier talent, prioritizing both local graduates from Uzbekistan institutions and Diaspora experts returning to contribute to the development of Uzbekistan Tashkent. Intensive training programs in Good Clinical Practice (GCP) and ethics will be mandatory for all Medical Researcher hires.</w:t>
      </w:r>
    </w:p>
    <w:p>
      <w:pPr>
        <w:numPr>
          <w:ilvl w:val="0"/>
          <w:numId w:val="1005"/>
        </w:numPr>
        <w:pStyle w:val="Compact"/>
      </w:pPr>
      <w:r>
        <w:rPr>
          <w:bCs/>
          <w:b/>
        </w:rPr>
        <w:t xml:space="preserve">Phase Three: Pilot Studies (Months 10-18):</w:t>
      </w:r>
    </w:p>
    <w:p>
      <w:pPr>
        <w:numPr>
          <w:ilvl w:val="0"/>
          <w:numId w:val="1007"/>
        </w:numPr>
        <w:pStyle w:val="Compact"/>
      </w:pPr>
      <w:r>
        <w:rPr>
          <w:bCs/>
          <w:b/>
        </w:rPr>
        <w:t xml:space="preserve">Phase Four: Expansion and Evaluation (Months 19-24):</w:t>
      </w:r>
    </w:p>
    <w:bookmarkEnd w:id="27"/>
    <w:bookmarkStart w:id="28" w:name="budgetary-considerations"/>
    <w:p>
      <w:pPr>
        <w:pStyle w:val="Heading2"/>
      </w:pPr>
      <w:r>
        <w:t xml:space="preserve">5. Budgetary Considerations</w:t>
      </w:r>
    </w:p>
    <w:p>
      <w:pPr>
        <w:pStyle w:val="FirstParagraph"/>
      </w:pPr>
      <w:r>
        <w:t xml:space="preserve">Funding for this Project Report initiative is secured through a combination of government grants and international health development funds. Key expenditure areas include:</w:t>
      </w:r>
    </w:p>
    <w:p>
      <w:pPr>
        <w:numPr>
          <w:ilvl w:val="0"/>
          <w:numId w:val="1009"/>
        </w:numPr>
        <w:pStyle w:val="Compact"/>
      </w:pPr>
      <w:r>
        <w:rPr>
          <w:bCs/>
          <w:b/>
        </w:rPr>
        <w:t xml:space="preserve">Equipment Procurement:</w:t>
      </w:r>
      <w:r>
        <w:t xml:space="preserve"> </w:t>
      </w:r>
      <w:r>
        <w:t xml:space="preserve">High-performance liquid chromatography systems, genomic sequencing machines, and secure server infrastructure for data storage.</w:t>
      </w:r>
    </w:p>
    <w:p>
      <w:pPr>
        <w:numPr>
          <w:ilvl w:val="0"/>
          <w:numId w:val="1009"/>
        </w:numPr>
        <w:pStyle w:val="Compact"/>
      </w:pPr>
      <w:r>
        <w:rPr>
          <w:bCs/>
          <w:b/>
        </w:rPr>
        <w:t xml:space="preserve">Honorariums:</w:t>
      </w:r>
      <w:r>
        <w:t xml:space="preserve"> </w:t>
      </w:r>
      <w:r>
        <w:t xml:space="preserve">Competitive salaries to retain top Medical Researcher talent in Uzbekistan Tashkent, preventing "brain drain" to Western countries.</w:t>
      </w:r>
    </w:p>
    <w:p>
      <w:pPr>
        <w:numPr>
          <w:ilvl w:val="0"/>
          <w:numId w:val="1009"/>
        </w:numPr>
        <w:pStyle w:val="Compact"/>
      </w:pPr>
      <w:r>
        <w:rPr>
          <w:bCs/>
          <w:b/>
        </w:rPr>
        <w:t xml:space="preserve">Training Costs:</w:t>
      </w:r>
      <w:r>
        <w:t xml:space="preserve"> </w:t>
      </w:r>
      <w:r>
        <w:t xml:space="preserve">International workshops and certification courses for staff.</w:t>
      </w:r>
    </w:p>
    <w:bookmarkEnd w:id="28"/>
    <w:bookmarkStart w:id="29" w:name="risk-management"/>
    <w:p>
      <w:pPr>
        <w:pStyle w:val="Heading2"/>
      </w:pPr>
      <w:r>
        <w:t xml:space="preserve">6. Risk Management</w:t>
      </w:r>
    </w:p>
    <w:p>
      <w:pPr>
        <w:pStyle w:val="FirstParagraph"/>
      </w:pPr>
      <w:r>
        <w:t xml:space="preserve">Identifying potential risks is essential for the longevity of this project. Key risks include regulatory delays in approving clinical trials within Uzbekistan Tashkent and potential resistance to change among traditional medical practitioners. To mitigate these, we have established a regulatory liaison team dedicated to streamlining approvals with local authorities in Uzbekistan Tashkent. Furthermore, an educational outreach program is being developed to demonstrate the tangible benefits of research-led medicine to practicing physicians.</w:t>
      </w:r>
    </w:p>
    <w:bookmarkEnd w:id="29"/>
    <w:bookmarkStart w:id="30" w:name="expected-outcomes-and-impact"/>
    <w:p>
      <w:pPr>
        <w:pStyle w:val="Heading2"/>
      </w:pPr>
      <w:r>
        <w:t xml:space="preserve">7. Expected Outcomes and Impact</w:t>
      </w:r>
    </w:p>
    <w:p>
      <w:pPr>
        <w:pStyle w:val="FirstParagraph"/>
      </w:pPr>
      <w:r>
        <w:t xml:space="preserve">The successful execution of this project will yield transformative results for Uzbekistan Tashkent. Within five years, we anticipate:</w:t>
      </w:r>
    </w:p>
    <w:p>
      <w:pPr>
        <w:numPr>
          <w:ilvl w:val="0"/>
          <w:numId w:val="1010"/>
        </w:numPr>
        <w:pStyle w:val="Compact"/>
      </w:pPr>
      <w:r>
        <w:t xml:space="preserve">A 40% increase in peer-reviewed publications authored by Medical Researcher based in Tashkent.</w:t>
      </w:r>
    </w:p>
    <w:bookmarkEnd w:id="30"/>
    <w:bookmarkStart w:id="31" w:name="conclusion"/>
    <w:p>
      <w:pPr>
        <w:pStyle w:val="Heading2"/>
      </w:pPr>
      <w:r>
        <w:t xml:space="preserve">8. Conclusion</w:t>
      </w:r>
    </w:p>
    <w:p>
      <w:pPr>
        <w:pStyle w:val="FirstParagraph"/>
      </w:pPr>
      <w:r>
        <w:t xml:space="preserve">This Project Report confirms that investing in Medical Researcher capabilities within Uzbekistan Tashkent is not merely an academic exercise but a strategic imperative for national health security. By empowering local experts with world-class resources and ethical frameworks, we can unlock solutions to diseases that disproportionately affect the Central Asian population. The focus remains steadfastly on building capacity within Tashkent as the engine of this progress, ensuring that Uzbekistan leads in medical science throughout the region.</w:t>
      </w:r>
    </w:p>
    <w:p>
      <w:pPr>
        <w:pStyle w:val="BodyText"/>
      </w:pPr>
      <w:r>
        <w:t xml:space="preserve">The approval and subsequent funding of this initiative will mark a historic milestone for public health in Uzbekistan Tashkent, setting a new standard for what Medical Researcher contributions can achieve in developing healthcare economies.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1"/>
  </w:num>
  <w:num w:numId="1007">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1"/>
  </w:num>
  <w:num w:numId="1009">
    <w:abstractNumId w:val="991"/>
  </w:num>
  <w:num w:numId="1010">
    <w:abstractNumId w:val="991"/>
  </w:num>
  <w:num w:numId="1011">
    <w:abstractNumId w:val="991"/>
  </w:num>
  <w:num w:numId="1012">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Tashkent</dc:title>
  <dc:creator/>
  <dc:language>en</dc:language>
  <cp:keywords/>
  <dcterms:created xsi:type="dcterms:W3CDTF">2026-07-29T16:25:36Z</dcterms:created>
  <dcterms:modified xsi:type="dcterms:W3CDTF">2026-07-29T16:25:36Z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