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Strategic</w:t>
      </w:r>
      <w:r>
        <w:t xml:space="preserve"> </w:t>
      </w:r>
      <w:r>
        <w:t xml:space="preserve">Leadership</w:t>
      </w:r>
      <w:r>
        <w:t xml:space="preserve"> </w:t>
      </w:r>
      <w:r>
        <w:t xml:space="preserve">and</w:t>
      </w:r>
      <w:r>
        <w:t xml:space="preserve"> </w:t>
      </w:r>
      <w:r>
        <w:t xml:space="preserve">Operational</w:t>
      </w:r>
      <w:r>
        <w:t xml:space="preserve"> </w:t>
      </w:r>
      <w:r>
        <w:t xml:space="preserve">Excellence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Military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Abu</w:t>
      </w:r>
      <w:r>
        <w:t xml:space="preserve"> </w:t>
      </w:r>
      <w:r>
        <w:t xml:space="preserve">Dhabi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Strategic Leadership and Operational Excellence of the Military Officer in the United Arab Emirates Abu Dhabi</dc:title>
  <dc:creator/>
  <dc:language>en</dc:language>
  <cp:keywords/>
  <dcterms:created xsi:type="dcterms:W3CDTF">2026-07-30T00:35:12Z</dcterms:created>
  <dcterms:modified xsi:type="dcterms:W3CDTF">2026-07-30T00:35:12Z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