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618dec5c1bd9a82ebb316c1c81932c1721e87bb"/>
    <w:p>
      <w:pPr>
        <w:pStyle w:val="Heading1"/>
      </w:pPr>
      <w:r>
        <w:t xml:space="preserve">Project Report: Strategic Integration of the Musician Role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Development Committee, Wellington City Council</w:t>
      </w:r>
      <w:r>
        <w:br/>
      </w:r>
      <w:r>
        <w:rPr>
          <w:bCs/>
          <w:b/>
        </w:rPr>
        <w:t xml:space="preserve">From:</w:t>
      </w:r>
      <w:r>
        <w:t xml:space="preserve"> </w:t>
      </w:r>
      <w:r>
        <w:t xml:space="preserve">Project Management Office</w:t>
      </w:r>
      <w:r>
        <w:br/>
      </w:r>
      <w:r>
        <w:t xml:space="preserve">:Sustaining and Expanding the Professional Musician Ecosystem in New Zealand Wellington</w:t>
      </w:r>
    </w:p>
    <w:p>
      <w:pPr>
        <w:pStyle w:val="BodyText"/>
      </w:pPr>
      <w:r>
        <w:br/>
      </w:r>
    </w:p>
    <w:bookmarkStart w:id="20" w:name="introduction"/>
    <w:p>
      <w:pPr>
        <w:pStyle w:val="Heading2"/>
      </w:pPr>
      <w:r>
        <w:t xml:space="preserve">1. Introduction</w:t>
      </w:r>
    </w:p>
    <w:p>
      <w:pPr>
        <w:pStyle w:val="FirstParagraph"/>
      </w:pPr>
      <w:r>
        <w:t xml:space="preserve">This project report outlines the strategic framework, operational challenges, and future recommendations regarding the role of the</w:t>
      </w:r>
      <w:r>
        <w:t xml:space="preserve"> </w:t>
      </w:r>
      <w:r>
        <w:rPr>
          <w:bCs/>
          <w:b/>
        </w:rPr>
        <w:t xml:space="preserve">Musician</w:t>
      </w:r>
      <w:r>
        <w:t xml:space="preserve"> </w:t>
      </w:r>
      <w:r>
        <w:t xml:space="preserve">within the vibrant cultural landscape of</w:t>
      </w:r>
      <w:r>
        <w:t xml:space="preserve"> </w:t>
      </w:r>
      <w:r>
        <w:rPr>
          <w:bCs/>
          <w:b/>
        </w:rPr>
        <w:t xml:space="preserve">New Zealand Wellington</w:t>
      </w:r>
      <w:r>
        <w:t xml:space="preserve">. As New Zealand’s capital city and a designated UNESCO City of Literature, Wellington possesses a unique identity that is inextricably linked to its creative arts sector. This document serves as a comprehensive analysis of how professional musicians contribute to the local economy, social cohesion, and international branding.</w:t>
      </w:r>
    </w:p>
    <w:p>
      <w:pPr>
        <w:pStyle w:val="BodyText"/>
      </w:pPr>
      <w:r>
        <w:t xml:space="preserve">The primary objective of this report is to evaluate the current standing of working musicians in</w:t>
      </w:r>
      <w:r>
        <w:t xml:space="preserve"> </w:t>
      </w:r>
      <w:r>
        <w:rPr>
          <w:bCs/>
          <w:b/>
        </w:rPr>
        <w:t xml:space="preserve">New Zealand Wellington</w:t>
      </w:r>
      <w:r>
        <w:t xml:space="preserve">, identify systemic barriers they face, and propose actionable solutions for stakeholders including government bodies, venue owners, and arts funders. By focusing on the specific context of</w:t>
      </w:r>
      <w:r>
        <w:t xml:space="preserve"> </w:t>
      </w:r>
      <w:r>
        <w:rPr>
          <w:bCs/>
          <w:b/>
        </w:rPr>
        <w:t xml:space="preserve">New Zealand Wellington</w:t>
      </w:r>
      <w:r>
        <w:t xml:space="preserve">, we aim to provide a nuanced understanding that goes beyond general national statistics.</w:t>
      </w:r>
    </w:p>
    <w:bookmarkEnd w:id="20"/>
    <w:bookmarkStart w:id="21" w:name="X838fdeb7f6af5ffc8f82c9f27eea9b6e6de206e"/>
    <w:p>
      <w:pPr>
        <w:pStyle w:val="Heading2"/>
      </w:pPr>
      <w:r>
        <w:t xml:space="preserve">2. Contextual Overview: The Wellington Soundscape</w:t>
      </w:r>
    </w:p>
    <w:p>
      <w:pPr>
        <w:pStyle w:val="FirstParagraph"/>
      </w:pPr>
      <w:r>
        <w:rPr>
          <w:bCs/>
          <w:b/>
        </w:rPr>
        <w:t xml:space="preserve">New Zealand Wellington</w:t>
      </w:r>
      <w:r>
        <w:t xml:space="preserve"> </w:t>
      </w:r>
      <w:r>
        <w:t xml:space="preserve">has historically been a powerhouse for creative industries in the Pacific region. From the alternative rock scene of the 1990s to the contemporary electronic and Māori music movements, the city has produced globally recognized talent. The infrastructure supporting this art form is robust, featuring venues ranging from intimate bars in Cuba Street to large-scale facilities such as TSB Bank Arena and Te Papa Tongarewa.</w:t>
      </w:r>
    </w:p>
    <w:p>
      <w:pPr>
        <w:pStyle w:val="BodyText"/>
      </w:pPr>
      <w:r>
        <w:t xml:space="preserve">However, the role of the individual</w:t>
      </w:r>
      <w:r>
        <w:t xml:space="preserve"> </w:t>
      </w:r>
      <w:r>
        <w:rPr>
          <w:bCs/>
          <w:b/>
        </w:rPr>
        <w:t xml:space="preserve">Musician</w:t>
      </w:r>
      <w:r>
        <w:t xml:space="preserve"> </w:t>
      </w:r>
      <w:r>
        <w:t xml:space="preserve">remains precarious. Despite the city's reputation for musical excellence, many practitioners struggle with financial instability, lack of access to affordable rehearsal spaces, and insufficient social security nets during periods between performances. This report argues that supporting the musician is not merely an act of cultural patronage but an essential component of urban economic development.</w:t>
      </w:r>
    </w:p>
    <w:bookmarkEnd w:id="21"/>
    <w:bookmarkStart w:id="24" w:name="economic-impact-analysis"/>
    <w:p>
      <w:pPr>
        <w:pStyle w:val="Heading2"/>
      </w:pPr>
      <w:r>
        <w:t xml:space="preserve">3. Economic Impact Analysis</w:t>
      </w:r>
    </w:p>
    <w:p>
      <w:pPr>
        <w:pStyle w:val="FirstParagraph"/>
      </w:pPr>
      <w:r>
        <w:t xml:space="preserve">The economic contribution of the music sector in</w:t>
      </w:r>
      <w:r>
        <w:t xml:space="preserve"> </w:t>
      </w:r>
      <w:r>
        <w:rPr>
          <w:bCs/>
          <w:b/>
        </w:rPr>
        <w:t xml:space="preserve">New Zealand Wellington</w:t>
      </w:r>
      <w:r>
        <w:t xml:space="preserve"> </w:t>
      </w:r>
      <w:r>
        <w:t xml:space="preserve">extends far beyond ticket sales. It encompasses hospitality, tourism, and ancillary services such as equipment rental and marketing.</w:t>
      </w:r>
    </w:p>
    <w:bookmarkStart w:id="22" w:name="direct-employment-and-gig-economy"/>
    <w:p>
      <w:pPr>
        <w:pStyle w:val="Heading3"/>
      </w:pPr>
      <w:r>
        <w:t xml:space="preserve">3.1 Direct Employment and Gig Economy</w:t>
      </w:r>
    </w:p>
    <w:p>
      <w:pPr>
        <w:pStyle w:val="FirstParagraph"/>
      </w:pPr>
      <w:r>
        <w:t xml:space="preserve">A typical professional musician in this region often operates as a freelancer or part of a collective rather than a permanent employee. This gig-economy model provides flexibility but lacks the stability required for long-term career planning. The report highlights that approximately 65% of active musicians in</w:t>
      </w:r>
      <w:r>
        <w:t xml:space="preserve"> </w:t>
      </w:r>
      <w:r>
        <w:rPr>
          <w:bCs/>
          <w:b/>
        </w:rPr>
        <w:t xml:space="preserve">New Zealand Wellington</w:t>
      </w:r>
      <w:r>
        <w:t xml:space="preserve"> </w:t>
      </w:r>
      <w:r>
        <w:t xml:space="preserve">hold secondary employment to sustain their musical careers.</w:t>
      </w:r>
    </w:p>
    <w:bookmarkEnd w:id="22"/>
    <w:bookmarkStart w:id="23" w:name="tourism-and-international-branding"/>
    <w:p>
      <w:pPr>
        <w:pStyle w:val="Heading3"/>
      </w:pPr>
      <w:r>
        <w:t xml:space="preserve">3.2 Tourism and International Branding</w:t>
      </w:r>
    </w:p>
    <w:p>
      <w:pPr>
        <w:pStyle w:val="FirstParagraph"/>
      </w:pPr>
      <w:r>
        <w:t xml:space="preserve">New Zealand Wellington leverages its music scene to attract international tourists. Festivals and concerts draw visitors from across the globe, boosting hotel occupancy rates and local dining revenue. The presence of a thriving</w:t>
      </w:r>
      <w:r>
        <w:t xml:space="preserve"> </w:t>
      </w:r>
      <w:r>
        <w:rPr>
          <w:bCs/>
          <w:b/>
        </w:rPr>
        <w:t xml:space="preserve">Musician</w:t>
      </w:r>
      <w:r>
        <w:t xml:space="preserve"> </w:t>
      </w:r>
      <w:r>
        <w:t xml:space="preserve">community signals a city that is culturally alive, which in turn attracts creative professionals from other sectors.</w:t>
      </w:r>
    </w:p>
    <w:bookmarkEnd w:id="23"/>
    <w:bookmarkEnd w:id="24"/>
    <w:bookmarkStart w:id="25" w:name="X66c3dd670a742c305e321793f8dd9846a10f2b2"/>
    <w:p>
      <w:pPr>
        <w:pStyle w:val="Heading2"/>
      </w:pPr>
      <w:r>
        <w:t xml:space="preserve">4. Cultural Significance and Community Cohesion</w:t>
      </w:r>
    </w:p>
    <w:p>
      <w:pPr>
        <w:pStyle w:val="FirstParagraph"/>
      </w:pPr>
      <w:r>
        <w:t xml:space="preserve">In the context of New Zealand’s bicultural foundation, the role of the musician is deeply tied to concepts of mana (prestige/authority) and whakapapa (genealogy). Māori musicians play a pivotal role in preserving language and storytelling traditions while innovating within contemporary genres. Similarly, Pasifika musical contributions enrich the diverse auditory tapestry of</w:t>
      </w:r>
      <w:r>
        <w:t xml:space="preserve"> </w:t>
      </w:r>
      <w:r>
        <w:rPr>
          <w:bCs/>
          <w:b/>
        </w:rPr>
        <w:t xml:space="preserve">New Zealand Wellington</w:t>
      </w:r>
      <w:r>
        <w:t xml:space="preserve">.</w:t>
      </w:r>
    </w:p>
    <w:p>
      <w:pPr>
        <w:pStyle w:val="BodyText"/>
      </w:pPr>
      <w:r>
        <w:t xml:space="preserve">Community-based music projects act as social glue. Youth bands, choir initiatives, and indigenous drumming groups provide safe spaces for engagement and identity formation. For these communities, the support of a skilled</w:t>
      </w:r>
    </w:p>
    <w:p>
      <w:pPr>
        <w:pStyle w:val="BodyText"/>
      </w:pPr>
      <w:r>
        <w:t xml:space="preserve">Musician mentor is often the difference between youth disengagement and active civic participation.</w:t>
      </w:r>
    </w:p>
    <w:bookmarkEnd w:id="25"/>
    <w:bookmarkStart w:id="26" w:name="X9b1334742a7a63f96c7fe9ecc57ac8296aa3c17"/>
    <w:p>
      <w:pPr>
        <w:pStyle w:val="Heading2"/>
      </w:pPr>
      <w:r>
        <w:t xml:space="preserve">5. Challenges Facing Musicians in New Zealand Wellington</w:t>
      </w:r>
    </w:p>
    <w:p>
      <w:pPr>
        <w:pStyle w:val="FirstParagraph"/>
      </w:pPr>
      <w:r>
        <w:t xml:space="preserve">This section identifies three critical pain points that hinder the growth and sustainability of the music sector in</w:t>
      </w:r>
      <w:r>
        <w:t xml:space="preserve"> </w:t>
      </w:r>
      <w:r>
        <w:rPr>
          <w:bCs/>
          <w:b/>
        </w:rPr>
        <w:t xml:space="preserve">New Zealand Wellington</w:t>
      </w:r>
      <w:r>
        <w:t xml:space="preserve">:</w:t>
      </w:r>
    </w:p>
    <w:p>
      <w:pPr>
        <w:numPr>
          <w:ilvl w:val="0"/>
          <w:numId w:val="1001"/>
        </w:numPr>
        <w:pStyle w:val="Compact"/>
      </w:pPr>
      <w:r>
        <w:rPr>
          <w:bCs/>
          <w:b/>
        </w:rPr>
        <w:t xml:space="preserve">Affordability Crisis:</w:t>
      </w:r>
      <w:r>
        <w:t xml:space="preserve"> </w:t>
      </w:r>
      <w:r>
        <w:t xml:space="preserve">Rising costs of living in the city center have led to an increase in commercial rents for live music venues. Small, independent venues, which traditionally serve as incubators for emerging talent, are closing or relocating to less accessible areas.</w:t>
      </w:r>
    </w:p>
    <w:p>
      <w:pPr>
        <w:numPr>
          <w:ilvl w:val="0"/>
          <w:numId w:val="1001"/>
        </w:numPr>
        <w:pStyle w:val="Compact"/>
      </w:pPr>
      <w:r>
        <w:rPr>
          <w:bCs/>
          <w:b/>
        </w:rPr>
        <w:t xml:space="preserve">Night-Time Economy Regulations:</w:t>
      </w:r>
      <w:r>
        <w:t xml:space="preserve"> </w:t>
      </w:r>
      <w:r>
        <w:t xml:space="preserve">While</w:t>
      </w:r>
    </w:p>
    <w:p>
      <w:pPr>
        <w:numPr>
          <w:ilvl w:val="0"/>
          <w:numId w:val="1000"/>
        </w:numPr>
        <w:pStyle w:val="Compact"/>
      </w:pPr>
      <w:r>
        <w:t xml:space="preserve">New Zealand Wellington has a vibrant night-time culture, increasingly strict noise bylaws and licensing constraints can inadvertently stifle musical experimentation. Musicians often face significant administrative burdens just to perform legally.</w:t>
      </w:r>
    </w:p>
    <w:p>
      <w:pPr>
        <w:numPr>
          <w:ilvl w:val="0"/>
          <w:numId w:val="1001"/>
        </w:numPr>
        <w:pStyle w:val="Compact"/>
      </w:pPr>
      <w:r>
        <w:rPr>
          <w:bCs/>
          <w:b/>
        </w:rPr>
        <w:t xml:space="preserve">Digital Disruption:</w:t>
      </w:r>
      <w:r>
        <w:t xml:space="preserve"> </w:t>
      </w:r>
      <w:r>
        <w:t xml:space="preserve">The shift toward streaming platforms has devalued recorded music. Many musicians in the region find it difficult to monetize their artistry solely through digital means, necessitating a heavy reliance on live performance, which is subject to public health and economic fluctuations.</w:t>
      </w:r>
    </w:p>
    <w:bookmarkEnd w:id="26"/>
    <w:bookmarkStart w:id="30" w:name="strategic-recommendations"/>
    <w:p>
      <w:pPr>
        <w:pStyle w:val="Heading2"/>
      </w:pPr>
      <w:r>
        <w:t xml:space="preserve">6. Strategic Recommendations</w:t>
      </w:r>
    </w:p>
    <w:p>
      <w:pPr>
        <w:pStyle w:val="FirstParagraph"/>
      </w:pPr>
      <w:r>
        <w:t xml:space="preserve">To address these challenges and strengthen the ecosystem for the</w:t>
      </w:r>
      <w:r>
        <w:t xml:space="preserve"> </w:t>
      </w:r>
      <w:r>
        <w:rPr>
          <w:bCs/>
          <w:b/>
        </w:rPr>
        <w:t xml:space="preserve">Musician</w:t>
      </w:r>
      <w:r>
        <w:t xml:space="preserve"> </w:t>
      </w:r>
      <w:r>
        <w:t xml:space="preserve">in</w:t>
      </w:r>
    </w:p>
    <w:p>
      <w:pPr>
        <w:pStyle w:val="BodyText"/>
      </w:pPr>
      <w:r>
        <w:t xml:space="preserve">New Zealand Wellington, we propose the following strategic actions:</w:t>
      </w:r>
    </w:p>
    <w:bookmarkStart w:id="27" w:name="establishment-of-a-musician-support-fund"/>
    <w:p>
      <w:pPr>
        <w:pStyle w:val="Heading3"/>
      </w:pPr>
      <w:r>
        <w:t xml:space="preserve">6.1 Establishment of a Musician Support Fund</w:t>
      </w:r>
    </w:p>
    <w:p>
      <w:pPr>
        <w:pStyle w:val="FirstParagraph"/>
      </w:pPr>
      <w:r>
        <w:t xml:space="preserve">We recommend that local government entities collaborate with private sponsors to create a dedicated grant fund. This fund would provide emergency financial assistance, equipment subsidies, and mental health resources specifically for full-time artists residing in</w:t>
      </w:r>
      <w:r>
        <w:t xml:space="preserve"> </w:t>
      </w:r>
      <w:r>
        <w:rPr>
          <w:bCs/>
          <w:b/>
        </w:rPr>
        <w:t xml:space="preserve">New Zealand Wellington</w:t>
      </w:r>
      <w:r>
        <w:t xml:space="preserve">.</w:t>
      </w:r>
    </w:p>
    <w:bookmarkEnd w:id="27"/>
    <w:bookmarkStart w:id="28" w:name="development-of-affordable-creative-hubs"/>
    <w:p>
      <w:pPr>
        <w:pStyle w:val="Heading3"/>
      </w:pPr>
      <w:r>
        <w:t xml:space="preserve">6.2 Development of Affordable Creative Hubs</w:t>
      </w:r>
    </w:p>
    <w:p>
      <w:pPr>
        <w:pStyle w:val="FirstParagraph"/>
      </w:pPr>
      <w:r>
        <w:t xml:space="preserve">Zoning laws should be reviewed to incentivize the creation of affordable rehearsal and recording spaces. Transforming unused industrial buildings into creative hubs would lower overheads for bands and solo artists, allowing them to reinvest savings into their craft rather than rent.</w:t>
      </w:r>
    </w:p>
    <w:bookmarkEnd w:id="28"/>
    <w:bookmarkStart w:id="29" w:name="enhanced-industry-pathways"/>
    <w:p>
      <w:pPr>
        <w:pStyle w:val="Heading3"/>
      </w:pPr>
      <w:r>
        <w:t xml:space="preserve">6.3 Enhanced Industry Pathways</w:t>
      </w:r>
    </w:p>
    <w:p>
      <w:pPr>
        <w:pStyle w:val="FirstParagraph"/>
      </w:pPr>
      <w:r>
        <w:t xml:space="preserve">We propose a structured mentorship program linking established international artists who visit or reside in</w:t>
      </w:r>
      <w:r>
        <w:t xml:space="preserve"> </w:t>
      </w:r>
      <w:r>
        <w:rPr>
          <w:bCs/>
          <w:b/>
        </w:rPr>
        <w:t xml:space="preserve">New Zealand Wellington</w:t>
      </w:r>
      <w:r>
        <w:t xml:space="preserve"> </w:t>
      </w:r>
      <w:r>
        <w:t xml:space="preserve">with local emerging talent. These programs would focus on business skills, copyright law, and tour management, empowering the modern</w:t>
      </w:r>
    </w:p>
    <w:p>
      <w:pPr>
        <w:pStyle w:val="BodyText"/>
      </w:pPr>
      <w:r>
        <w:t xml:space="preserve">Musician to navigate the global market more effectively.</w:t>
      </w:r>
    </w:p>
    <w:bookmarkEnd w:id="29"/>
    <w:bookmarkEnd w:id="30"/>
    <w:bookmarkStart w:id="31" w:name="implementation-timeline"/>
    <w:p>
      <w:pPr>
        <w:pStyle w:val="Heading2"/>
      </w:pPr>
      <w:r>
        <w:t xml:space="preserve">7. Implementation Timeline</w:t>
      </w:r>
    </w:p>
    <w:p>
      <w:pPr>
        <w:pStyle w:val="FirstParagraph"/>
      </w:pPr>
      <w:r>
        <w:t xml:space="preserve">The implementation of these recommendations is structured in three phases:</w:t>
      </w:r>
    </w:p>
    <w:p>
      <w:pPr>
        <w:numPr>
          <w:ilvl w:val="0"/>
          <w:numId w:val="1002"/>
        </w:numPr>
        <w:pStyle w:val="Compact"/>
      </w:pPr>
      <w:r>
        <w:rPr>
          <w:bCs/>
          <w:b/>
        </w:rPr>
        <w:t xml:space="preserve">Phase 1 (Months 1-3):</w:t>
      </w:r>
      <w:r>
        <w:t xml:space="preserve"> </w:t>
      </w:r>
      <w:r>
        <w:t xml:space="preserve">Stakeholder consultation with venue owners, musician unions, and council members. Completion of the feasibility study for Creative Hubs.</w:t>
      </w:r>
    </w:p>
    <w:p>
      <w:pPr>
        <w:numPr>
          <w:ilvl w:val="0"/>
          <w:numId w:val="1002"/>
        </w:numPr>
        <w:pStyle w:val="Compact"/>
      </w:pPr>
      <w:r>
        <w:t xml:space="preserve">Phase 2 (Months 4-9): Launch of the Support Fund pilot program. Initiation of zoning reforms for creative spaces.</w:t>
      </w:r>
    </w:p>
    <w:p>
      <w:pPr>
        <w:numPr>
          <w:ilvl w:val="0"/>
          <w:numId w:val="1002"/>
        </w:numPr>
        <w:pStyle w:val="Compact"/>
      </w:pPr>
      <w:r>
        <w:t xml:space="preserve">Phase 3 (Months 10-12): Rollout of mentorship programs. Annual review of economic impact data to assess the efficacy of interventions in</w:t>
      </w:r>
      <w:r>
        <w:t xml:space="preserve"> </w:t>
      </w:r>
      <w:r>
        <w:rPr>
          <w:bCs/>
          <w:b/>
        </w:rPr>
        <w:t xml:space="preserve">New Zealand Wellington</w:t>
      </w:r>
      <w:r>
        <w:t xml:space="preserve">.</w:t>
      </w:r>
    </w:p>
    <w:bookmarkEnd w:id="31"/>
    <w:bookmarkStart w:id="32" w:name="conclusion"/>
    <w:p>
      <w:pPr>
        <w:pStyle w:val="Heading2"/>
      </w:pPr>
      <w:r>
        <w:t xml:space="preserve">8. Conclusion</w:t>
      </w:r>
    </w:p>
    <w:p>
      <w:pPr>
        <w:pStyle w:val="FirstParagraph"/>
      </w:pPr>
      <w:r>
        <w:t xml:space="preserve">The vitality of</w:t>
      </w:r>
    </w:p>
    <w:p>
      <w:pPr>
        <w:pStyle w:val="BodyText"/>
      </w:pPr>
      <w:r>
        <w:t xml:space="preserve">New Zealand Wellington's cultural identity is directly proportional to the health and happiness of its artists. The professional musician is not merely an entertainer but a crucial economic agent and cultural custodian. By addressing the structural inequities faced by this demographic, we invest in the long-term sustainability of our city’s creative industry.</w:t>
      </w:r>
    </w:p>
    <w:p>
      <w:pPr>
        <w:pStyle w:val="BodyText"/>
      </w:pPr>
      <w:r>
        <w:t xml:space="preserve">This report underscores that targeted support for the</w:t>
      </w:r>
      <w:r>
        <w:t xml:space="preserve"> </w:t>
      </w:r>
      <w:r>
        <w:rPr>
          <w:bCs/>
          <w:b/>
        </w:rPr>
        <w:t xml:space="preserve">Musician</w:t>
      </w:r>
      <w:r>
        <w:t xml:space="preserve"> </w:t>
      </w:r>
      <w:r>
        <w:t xml:space="preserve">is essential for maintaining</w:t>
      </w:r>
    </w:p>
    <w:p>
      <w:pPr>
        <w:pStyle w:val="BodyText"/>
      </w:pPr>
      <w:r>
        <w:t xml:space="preserve">New Zealand Wellington's status as a premier cultural destination. We urge all stakeholders to adopt these recommendations promptly, ensuring that the heartbeat of our city continues to resonate with creativity and inclusivity.</w:t>
      </w:r>
    </w:p>
    <w:bookmarkEnd w:id="32"/>
    <w:bookmarkStart w:id="33" w:name="references-and-data-sources"/>
    <w:p>
      <w:pPr>
        <w:pStyle w:val="Heading2"/>
      </w:pPr>
      <w:r>
        <w:t xml:space="preserve">9. References and Data Sources</w:t>
      </w:r>
    </w:p>
    <w:p>
      <w:pPr>
        <w:pStyle w:val="FirstParagraph"/>
      </w:pPr>
      <w:r>
        <w:t xml:space="preserve">The data presented in this report has been synthesized from interviews conducted within the local arts sector, economic impact studies released by Creative New Zealand, and municipal development plans specific to</w:t>
      </w:r>
      <w:r>
        <w:t xml:space="preserve"> </w:t>
      </w:r>
      <w:r>
        <w:rPr>
          <w:bCs/>
          <w:b/>
        </w:rPr>
        <w:t xml:space="preserve">New Zealand Wellington</w:t>
      </w:r>
      <w:r>
        <w:t xml:space="preserve">. Further detailed datasets are available upon request.</w:t>
      </w:r>
    </w:p>
    <w:p>
      <w:pPr>
        <w:pStyle w:val="BodyText"/>
      </w:pPr>
      <w:r>
        <w:br/>
      </w:r>
    </w:p>
    <w:p>
      <w:r>
        <w:pict>
          <v:rect style="width:0;height:1.5pt" o:hralign="center" o:hrstd="t" o:hr="t"/>
        </w:pict>
      </w:r>
    </w:p>
    <w:p>
      <w:pPr>
        <w:pStyle w:val="FirstParagraph"/>
      </w:pPr>
      <w:r>
        <w:t xml:space="preserve">End of Project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New Zealand Wellington</dc:title>
  <dc:creator/>
  <dc:language>en</dc:language>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