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6" w:name="X91c2967b8689a5947ff66272e7129be8f1c4903"/>
    <w:p>
      <w:pPr>
        <w:pStyle w:val="Heading1"/>
      </w:pPr>
      <w:r>
        <w:t xml:space="preserve">Project Report: Strategic Integration and Expansion of Occupational Therapy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Aged Care, Victoria State Government &amp; Allied Health Stakeholders</w:t>
      </w:r>
      <w:r>
        <w:br/>
      </w:r>
      <w:r>
        <w:rPr>
          <w:bCs/>
          <w:b/>
        </w:rPr>
        <w:t xml:space="preserve">From:</w:t>
      </w:r>
      <w:r>
        <w:t xml:space="preserve"> </w:t>
      </w:r>
      <w:r>
        <w:t xml:space="preserve">Strategic Planning Committee</w:t>
      </w:r>
      <w:r>
        <w:br/>
      </w:r>
      <w:r>
        <w:rPr>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Occupational Therapists in the metropolitan and regional contexts of Australia Melbourne. As demographic shifts continue to challenge healthcare systems, particularly concerning an aging population and rising chronic disease prevalence, the demand for specialized rehabilitation services has intensified. This document outlines current service landscapes, identifies gaps in provision specific to</w:t>
      </w:r>
      <w:r>
        <w:t xml:space="preserve"> </w:t>
      </w:r>
      <w:r>
        <w:rPr>
          <w:bCs/>
          <w:b/>
        </w:rPr>
        <w:t xml:space="preserve">Australia Melbourne</w:t>
      </w:r>
      <w:r>
        <w:t xml:space="preserve">, and proposes strategic recommendations to enhance accessibility and efficacy of Occupational Therapy interventions.</w:t>
      </w:r>
    </w:p>
    <w:bookmarkEnd w:id="20"/>
    <w:bookmarkStart w:id="21" w:name="introduction"/>
    <w:p>
      <w:pPr>
        <w:pStyle w:val="Heading2"/>
      </w:pPr>
      <w:r>
        <w:t xml:space="preserve">2. Introduction</w:t>
      </w:r>
    </w:p>
    <w:p>
      <w:pPr>
        <w:pStyle w:val="FirstParagraph"/>
      </w:pPr>
      <w:r>
        <w:t xml:space="preserve">The healthcare landscape in Victoria is unique, characterized by a mix of public hospital systems, private clinics, and community-based organizations. Within this framework, the</w:t>
      </w:r>
      <w:r>
        <w:t xml:space="preserve"> </w:t>
      </w:r>
      <w:r>
        <w:rPr>
          <w:bCs/>
          <w:b/>
        </w:rPr>
        <w:t xml:space="preserve">OCCUPATIONAL THERAPIST</w:t>
      </w:r>
      <w:r>
        <w:t xml:space="preserve"> </w:t>
      </w:r>
      <w:r>
        <w:t xml:space="preserve">serves as a pivotal professional dedicated to enabling participation in daily life activities. Whether addressing physical impairments from stroke recovery or supporting mental health resilience in urban environments, these practitioners are essential to the holistic well-being of communities across</w:t>
      </w:r>
      <w:r>
        <w:t xml:space="preserve"> </w:t>
      </w:r>
      <w:r>
        <w:rPr>
          <w:bCs/>
          <w:b/>
        </w:rPr>
        <w:t xml:space="preserve">Australia Melbourne</w:t>
      </w:r>
      <w:r>
        <w:t xml:space="preserve">.</w:t>
      </w:r>
    </w:p>
    <w:p>
      <w:pPr>
        <w:pStyle w:val="BodyText"/>
      </w:pPr>
      <w:r>
        <w:t xml:space="preserve">The primary objective of this report is to evaluate the current capacity of Occupational Therapy services, analyze demographic drivers influencing demand in</w:t>
      </w:r>
      <w:r>
        <w:t xml:space="preserve"> </w:t>
      </w:r>
      <w:r>
        <w:rPr>
          <w:bCs/>
          <w:b/>
        </w:rPr>
        <w:t xml:space="preserve">Australia Melbourne</w:t>
      </w:r>
      <w:r>
        <w:t xml:space="preserve">, and recommend policy adjustments that ensure sustainable service delivery for all citizens.</w:t>
      </w:r>
    </w:p>
    <w:bookmarkEnd w:id="21"/>
    <w:bookmarkStart w:id="24" w:name="Xc9c23dfcf3dafbdd890b0e9c281e7e41a5d3507"/>
    <w:p>
      <w:pPr>
        <w:pStyle w:val="Heading2"/>
      </w:pPr>
      <w:r>
        <w:t xml:space="preserve">3. Contextual Analysis: The Landscape in Australia Melbourne</w:t>
      </w:r>
    </w:p>
    <w:bookmarkStart w:id="22" w:name="demographic-drivers"/>
    <w:p>
      <w:pPr>
        <w:pStyle w:val="Heading3"/>
      </w:pPr>
      <w:r>
        <w:t xml:space="preserve">3.1 Demographic Drivers</w:t>
      </w:r>
    </w:p>
    <w:p>
      <w:pPr>
        <w:pStyle w:val="FirstParagraph"/>
      </w:pPr>
      <w:r>
        <w:rPr>
          <w:bCs/>
          <w:b/>
        </w:rPr>
        <w:t xml:space="preserve">Australia Melbourne</w:t>
      </w:r>
      <w:r>
        <w:t xml:space="preserve">, as the capital of Victoria, is experiencing significant demographic changes. Key factors include:</w:t>
      </w:r>
    </w:p>
    <w:p>
      <w:pPr>
        <w:numPr>
          <w:ilvl w:val="0"/>
          <w:numId w:val="1001"/>
        </w:numPr>
        <w:pStyle w:val="Compact"/>
      </w:pPr>
      <w:r>
        <w:rPr>
          <w:bCs/>
          <w:b/>
        </w:rPr>
        <w:t xml:space="preserve">Aging Population:</w:t>
      </w:r>
      <w:r>
        <w:t xml:space="preserve"> </w:t>
      </w:r>
      <w:r>
        <w:t xml:space="preserve">A substantial increase in seniors requiring aged care support. Occupational Therapists play a crucial role in home modifications and fall prevention for this demographic.</w:t>
      </w:r>
    </w:p>
    <w:p>
      <w:pPr>
        <w:numPr>
          <w:ilvl w:val="0"/>
          <w:numId w:val="1001"/>
        </w:numPr>
        <w:pStyle w:val="Compact"/>
      </w:pPr>
      <w:r>
        <w:rPr>
          <w:bCs/>
          <w:b/>
        </w:rPr>
        <w:t xml:space="preserve">Multicultural Diversity:</w:t>
      </w:r>
      <w:r>
        <w:t xml:space="preserve"> </w:t>
      </w:r>
      <w:r>
        <w:t xml:space="preserve">Melbourne is one of the most culturally diverse cities globally. This diversity necessitates culturally sensitive care plans, where Occupational Therapists must adapt interventions to respect varied cultural practices and communication styles.</w:t>
      </w:r>
    </w:p>
    <w:p>
      <w:pPr>
        <w:numPr>
          <w:ilvl w:val="0"/>
          <w:numId w:val="1001"/>
        </w:numPr>
        <w:pStyle w:val="Compact"/>
      </w:pPr>
      <w:r>
        <w:rPr>
          <w:bCs/>
          <w:b/>
        </w:rPr>
        <w:t xml:space="preserve">Socioeconomic Disparities:</w:t>
      </w:r>
      <w:r>
        <w:t xml:space="preserve"> </w:t>
      </w:r>
      <w:r>
        <w:t xml:space="preserve">Variations in health outcomes across different suburbs in</w:t>
      </w:r>
      <w:r>
        <w:t xml:space="preserve"> </w:t>
      </w:r>
      <w:r>
        <w:rPr>
          <w:bCs/>
          <w:b/>
        </w:rPr>
        <w:t xml:space="preserve">Australia Melbourne</w:t>
      </w:r>
      <w:r>
        <w:t xml:space="preserve"> </w:t>
      </w:r>
      <w:r>
        <w:t xml:space="preserve">highlight the need for targeted interventions in lower socioeconomic areas.</w:t>
      </w:r>
    </w:p>
    <w:bookmarkEnd w:id="22"/>
    <w:bookmarkStart w:id="23" w:name="the-role-of-the-occupational-therapist"/>
    <w:p>
      <w:pPr>
        <w:pStyle w:val="Heading3"/>
      </w:pPr>
      <w:r>
        <w:t xml:space="preserve">3.2 The Role of the Occupational Therapist</w:t>
      </w:r>
    </w:p>
    <w:p>
      <w:pPr>
        <w:pStyle w:val="FirstParagraph"/>
      </w:pPr>
      <w:r>
        <w:t xml:space="preserve">An</w:t>
      </w:r>
      <w:r>
        <w:t xml:space="preserve"> </w:t>
      </w:r>
      <w:r>
        <w:rPr>
          <w:bCs/>
          <w:b/>
        </w:rPr>
        <w:t xml:space="preserve">OCCUPATIONAL THERAPIST</w:t>
      </w:r>
    </w:p>
    <w:p>
      <w:pPr>
        <w:numPr>
          <w:ilvl w:val="0"/>
          <w:numId w:val="1002"/>
        </w:numPr>
        <w:pStyle w:val="Compact"/>
      </w:pPr>
      <w:r>
        <w:rPr>
          <w:bCs/>
          <w:b/>
        </w:rPr>
        <w:t xml:space="preserve">Physical Rehabilitation:</w:t>
      </w:r>
      <w:r>
        <w:t xml:space="preserve"> </w:t>
      </w:r>
      <w:r>
        <w:t xml:space="preserve">Post-surgical recovery, trauma rehabilitation, and management of chronic conditions like arthritis.</w:t>
      </w:r>
    </w:p>
    <w:p>
      <w:pPr>
        <w:numPr>
          <w:ilvl w:val="0"/>
          <w:numId w:val="1002"/>
        </w:numPr>
        <w:pStyle w:val="Compact"/>
      </w:pPr>
      <w:r>
        <w:t xml:space="preserve">Mental Health Support:, Helping individuals develop coping strategies and daily routines to manage psychiatric conditions.</w:t>
      </w:r>
    </w:p>
    <w:p>
      <w:pPr>
        <w:numPr>
          <w:ilvl w:val="0"/>
          <w:numId w:val="1002"/>
        </w:numPr>
        <w:pStyle w:val="Compact"/>
      </w:pPr>
      <w:r>
        <w:rPr>
          <w:bCs/>
          <w:b/>
        </w:rPr>
        <w:t xml:space="preserve">Pediatric Care:</w:t>
      </w:r>
      <w:r>
        <w:t xml:space="preserve"> </w:t>
      </w:r>
      <w:r>
        <w:t xml:space="preserve">Supporting children with developmental delays or disabilities to participate in school and play activities.</w:t>
      </w:r>
    </w:p>
    <w:bookmarkEnd w:id="23"/>
    <w:bookmarkEnd w:id="24"/>
    <w:bookmarkStart w:id="28" w:name="current-challenges-and-gaps"/>
    <w:p>
      <w:pPr>
        <w:pStyle w:val="Heading2"/>
      </w:pPr>
      <w:r>
        <w:t xml:space="preserve">4. Current Challenges and Gaps</w:t>
      </w:r>
    </w:p>
    <w:p>
      <w:pPr>
        <w:pStyle w:val="FirstParagraph"/>
      </w:pPr>
      <w:r>
        <w:rPr>
          <w:bCs/>
          <w:b/>
        </w:rPr>
        <w:t xml:space="preserve">Critical Observation:</w:t>
      </w:r>
      <w:r>
        <w:t xml:space="preserve"> </w:t>
      </w:r>
      <w:r>
        <w:t xml:space="preserve">Despite the high quality of care provided by individual practitioners, systemic bottlenecks exist within the referral pathways in</w:t>
      </w:r>
      <w:r>
        <w:t xml:space="preserve"> </w:t>
      </w:r>
      <w:r>
        <w:rPr>
          <w:bCs/>
          <w:b/>
        </w:rPr>
        <w:t xml:space="preserve">Australia Melbourne</w:t>
      </w:r>
      <w:r>
        <w:t xml:space="preserve">.</w:t>
      </w:r>
    </w:p>
    <w:bookmarkStart w:id="25" w:name="workforce-shortages"/>
    <w:p>
      <w:pPr>
        <w:pStyle w:val="Heading3"/>
      </w:pPr>
      <w:r>
        <w:t xml:space="preserve">4.1 Workforce Shortages</w:t>
      </w:r>
    </w:p>
    <w:p>
      <w:pPr>
        <w:pStyle w:val="FirstParagraph"/>
      </w:pPr>
      <w:r>
        <w:t xml:space="preserve">Data indicates a growing gap between the number of registered Occupational Therapists and the increasing demand for services. Recruitment challenges in regional pockets surrounding metropolitan Melbourne exacerbate this issue, leading to long wait times for patients in outer suburbs.</w:t>
      </w:r>
    </w:p>
    <w:bookmarkEnd w:id="25"/>
    <w:bookmarkStart w:id="26" w:name="funding-limitations"/>
    <w:p>
      <w:pPr>
        <w:pStyle w:val="Heading3"/>
      </w:pPr>
      <w:r>
        <w:t xml:space="preserve">4.2 Funding Limitations</w:t>
      </w:r>
    </w:p>
    <w:p>
      <w:pPr>
        <w:pStyle w:val="FirstParagraph"/>
      </w:pPr>
      <w:r>
        <w:t xml:space="preserve">The National Disability Insurance Scheme (NDIS) has transformed service delivery but also introduced complexity. Many private clinics operating in</w:t>
      </w:r>
      <w:r>
        <w:t xml:space="preserve"> </w:t>
      </w:r>
      <w:r>
        <w:rPr>
          <w:bCs/>
          <w:b/>
        </w:rPr>
        <w:t xml:space="preserve">Australia Melbourne</w:t>
      </w:r>
      <w:r>
        <w:t xml:space="preserve"> </w:t>
      </w:r>
      <w:r>
        <w:t xml:space="preserve">face administrative burdens that reduce the time available for direct patient care. Furthermore, gaps remain in funding for short-term rehabilitation needs not covered by NDIS or Medicare.</w:t>
      </w:r>
    </w:p>
    <w:bookmarkEnd w:id="26"/>
    <w:bookmarkStart w:id="27" w:name="digital-divide"/>
    <w:p>
      <w:pPr>
        <w:pStyle w:val="Heading3"/>
      </w:pPr>
      <w:r>
        <w:t xml:space="preserve">4.3 Digital Divide</w:t>
      </w:r>
    </w:p>
    <w:p>
      <w:pPr>
        <w:pStyle w:val="FirstParagraph"/>
      </w:pPr>
      <w:r>
        <w:t xml:space="preserve">The rapid adoption of telehealth has expanded access to Occupational Therapy services. However, a significant portion of the elderly population in older suburbs of Melbourne lacks the digital literacy or infrastructure to benefit from remote consultations, creating an inequity in service access.</w:t>
      </w:r>
    </w:p>
    <w:bookmarkEnd w:id="27"/>
    <w:bookmarkEnd w:id="28"/>
    <w:bookmarkStart w:id="29" w:name="strategic-recommendations"/>
    <w:p>
      <w:pPr>
        <w:pStyle w:val="Heading2"/>
      </w:pPr>
      <w:r>
        <w:t xml:space="preserve">5. Strategic Recommendations</w:t>
      </w:r>
    </w:p>
    <w:p>
      <w:pPr>
        <w:pStyle w:val="FirstParagraph"/>
      </w:pPr>
      <w:r>
        <w:t xml:space="preserve">To address these challenges and optimize the contribution of the</w:t>
      </w:r>
      <w:r>
        <w:t xml:space="preserve"> </w:t>
      </w:r>
      <w:r>
        <w:rPr>
          <w:bCs/>
          <w:b/>
        </w:rPr>
        <w:t xml:space="preserve">OCCUPATIONAL THERAPIST</w:t>
      </w:r>
      <w:r>
        <w:t xml:space="preserve">, the following strategic actions are recommended for implementation across</w:t>
      </w:r>
      <w:r>
        <w:t xml:space="preserve"> </w:t>
      </w:r>
      <w:r>
        <w:rPr>
          <w:bCs/>
          <w:b/>
        </w:rPr>
        <w:t xml:space="preserve">Australia Melbourne</w:t>
      </w:r>
      <w:r>
        <w:t xml:space="preserve">:</w:t>
      </w:r>
    </w:p>
    <w:p>
      <w:pPr>
        <w:numPr>
          <w:ilvl w:val="0"/>
          <w:numId w:val="1003"/>
        </w:numPr>
        <w:pStyle w:val="Compact"/>
      </w:pPr>
      <w:r>
        <w:rPr>
          <w:bCs/>
          <w:b/>
        </w:rPr>
        <w:t xml:space="preserve">Enhanced Interdisciplinary Collaboration:</w:t>
      </w:r>
    </w:p>
    <w:p>
      <w:pPr>
        <w:numPr>
          <w:ilvl w:val="0"/>
          <w:numId w:val="1003"/>
        </w:numPr>
        <w:pStyle w:val="Compact"/>
      </w:pPr>
      <w:r>
        <w:rPr>
          <w:bCs/>
          <w:b/>
        </w:rPr>
        <w:t xml:space="preserve">Tariff Review and Incentive Structures:</w:t>
      </w:r>
      <w:r>
        <w:t xml:space="preserve">Australia Melbourne would help distribute resources more evenly.</w:t>
      </w:r>
    </w:p>
    <w:p>
      <w:pPr>
        <w:numPr>
          <w:ilvl w:val="0"/>
          <w:numId w:val="1003"/>
        </w:numPr>
        <w:pStyle w:val="Compact"/>
      </w:pPr>
      <w:r>
        <w:rPr>
          <w:bCs/>
          <w:b/>
        </w:rPr>
        <w:t xml:space="preserve">Community-Based Prevention Programs:</w:t>
      </w:r>
    </w:p>
    <w:p>
      <w:pPr>
        <w:numPr>
          <w:ilvl w:val="0"/>
          <w:numId w:val="1003"/>
        </w:numPr>
        <w:pStyle w:val="Compact"/>
      </w:pPr>
      <w:r>
        <w:rPr>
          <w:bCs/>
          <w:b/>
        </w:rPr>
        <w:t xml:space="preserve">Digital Inclusion Initiatives:</w:t>
      </w:r>
    </w:p>
    <w:p>
      <w:pPr>
        <w:numPr>
          <w:ilvl w:val="0"/>
          <w:numId w:val="1003"/>
        </w:numPr>
        <w:pStyle w:val="Compact"/>
      </w:pPr>
      <w:r>
        <w:rPr>
          <w:bCs/>
          <w:b/>
        </w:rPr>
        <w:t xml:space="preserve">Cultural Safety Training:</w:t>
      </w:r>
      <w:r>
        <w:t xml:space="preserve">Australia Melbourne to enhance cultural competency and trust-building with patients from non-English speaking backgrounds.</w:t>
      </w:r>
    </w:p>
    <w:bookmarkEnd w:id="29"/>
    <w:bookmarkStart w:id="33" w:name="implementation-roadmap"/>
    <w:p>
      <w:pPr>
        <w:pStyle w:val="Heading2"/>
      </w:pPr>
      <w:r>
        <w:t xml:space="preserve">6. Implementation Roadmap</w:t>
      </w:r>
    </w:p>
    <w:bookmarkStart w:id="30" w:name="phase-1-assessment-months-1-3"/>
    <w:p>
      <w:pPr>
        <w:pStyle w:val="Heading3"/>
      </w:pPr>
      <w:r>
        <w:t xml:space="preserve">Phase 1: Assessment (Months 1-3)</w:t>
      </w:r>
    </w:p>
    <w:p>
      <w:pPr>
        <w:pStyle w:val="FirstParagraph"/>
      </w:pPr>
      <w:r>
        <w:t xml:space="preserve">A comprehensive audit of current Occupational Therapy service utilization rates across all Melbourne local government areas will be conducted. Stakeholder consultations with peak bodies, including Occupational Therapy Australia (Victoria), will commence.</w:t>
      </w:r>
    </w:p>
    <w:bookmarkEnd w:id="30"/>
    <w:bookmarkStart w:id="31" w:name="phase-2-pilot-programs-months-4-9"/>
    <w:p>
      <w:pPr>
        <w:pStyle w:val="Heading3"/>
      </w:pPr>
      <w:r>
        <w:t xml:space="preserve">Phase 2: Pilot Programs (Months 4-9)</w:t>
      </w:r>
    </w:p>
    <w:p>
      <w:pPr>
        <w:pStyle w:val="FirstParagraph"/>
      </w:pPr>
      <w:r>
        <w:t xml:space="preserve">Select three diverse suburbs in</w:t>
      </w:r>
      <w:r>
        <w:t xml:space="preserve"> </w:t>
      </w:r>
      <w:r>
        <w:rPr>
          <w:bCs/>
          <w:b/>
        </w:rPr>
        <w:t xml:space="preserve">Australia Melbourne</w:t>
      </w:r>
      <w:r>
        <w:t xml:space="preserve"> </w:t>
      </w:r>
      <w:r>
        <w:t xml:space="preserve">to pilot integrated care models involving co-location of General Practitioners and Occupational Therapists. These pilots will test the efficacy of streamlined referral pathways.</w:t>
      </w:r>
    </w:p>
    <w:bookmarkEnd w:id="31"/>
    <w:bookmarkStart w:id="32" w:name="Xecfea6df75114da9ff85b8615b1b6f7d8c1bb32"/>
    <w:p>
      <w:pPr>
        <w:pStyle w:val="Heading3"/>
      </w:pPr>
      <w:r>
        <w:t xml:space="preserve">Phase 3: Evaluation and Scaling (Months 10-12)</w:t>
      </w:r>
    </w:p>
    <w:p>
      <w:pPr>
        <w:pStyle w:val="FirstParagraph"/>
      </w:pPr>
      <w:r>
        <w:t xml:space="preserve">Evaluate data from pilot programs to measure improvements in patient outcomes, wait times, and satisfaction levels. Based on findings, develop a statewide rollout strategy for successful models.</w:t>
      </w:r>
    </w:p>
    <w:bookmarkEnd w:id="32"/>
    <w:bookmarkEnd w:id="33"/>
    <w:bookmarkStart w:id="34" w:name="conclusion"/>
    <w:p>
      <w:pPr>
        <w:pStyle w:val="Heading2"/>
      </w:pPr>
      <w:r>
        <w:t xml:space="preserve">7. Conclusion</w:t>
      </w:r>
    </w:p>
    <w:p>
      <w:pPr>
        <w:pStyle w:val="FirstParagraph"/>
      </w:pPr>
      <w:r>
        <w:t xml:space="preserve">The role of the Occupational Therapist is not merely supportive but foundational to the functional independence and quality of life for citizens in</w:t>
      </w:r>
    </w:p>
    <w:p>
      <w:pPr>
        <w:pStyle w:val="BodyText"/>
      </w:pPr>
      <w:r>
        <w:t xml:space="preserve">Australia Melbourne. By addressing workforce shortages, refining funding mechanisms, and leveraging technology inclusively, we can build a resilient health system.</w:t>
      </w:r>
    </w:p>
    <w:p>
      <w:pPr>
        <w:pStyle w:val="BodyText"/>
      </w:pPr>
      <w:r>
        <w:t xml:space="preserve">This Project Report underscores that investing in Occupational Therapy services is an investment in community sustainability. As the population of</w:t>
      </w:r>
    </w:p>
    <w:p>
      <w:pPr>
        <w:pStyle w:val="BodyText"/>
      </w:pPr>
      <w:r>
        <w:t xml:space="preserve">Australia Melbourne continues to grow and age, the strategic integration of these professionals will be vital in maintaining public health standards and ensuring equitable access to care for all residents.</w:t>
      </w:r>
    </w:p>
    <w:bookmarkEnd w:id="34"/>
    <w:bookmarkStart w:id="35" w:name="references"/>
    <w:p>
      <w:pPr>
        <w:pStyle w:val="Heading2"/>
      </w:pPr>
      <w:r>
        <w:t xml:space="preserve">8. References</w:t>
      </w:r>
    </w:p>
    <w:p>
      <w:pPr>
        <w:numPr>
          <w:ilvl w:val="0"/>
          <w:numId w:val="1004"/>
        </w:numPr>
        <w:pStyle w:val="Compact"/>
      </w:pPr>
      <w:r>
        <w:t xml:space="preserve">Australian Commission on Safety and Quality in Health Care. (2023). Standards for Age-Friendly Healthcare.</w:t>
      </w:r>
    </w:p>
    <w:p>
      <w:pPr>
        <w:numPr>
          <w:ilvl w:val="0"/>
          <w:numId w:val="1004"/>
        </w:numPr>
        <w:pStyle w:val="Compact"/>
      </w:pPr>
      <w:r>
        <w:t xml:space="preserve">VicHealth. (2023). Social and Emotional Wellbeing Framework for Aboriginal Victorians.</w:t>
      </w:r>
    </w:p>
    <w:p>
      <w:pPr>
        <w:numPr>
          <w:ilvl w:val="0"/>
          <w:numId w:val="1004"/>
        </w:numPr>
        <w:pStyle w:val="Compact"/>
      </w:pPr>
      <w:r>
        <w:t xml:space="preserve">Occupational Therapy Australia (OTA) Victoria State Chapter. Annual Report on Allied Health Workforce Trends in Melbourne, 2023.</w:t>
      </w:r>
    </w:p>
    <w:p>
      <w:pPr>
        <w:numPr>
          <w:ilvl w:val="0"/>
          <w:numId w:val="1004"/>
        </w:numPr>
        <w:pStyle w:val="Compact"/>
      </w:pPr>
      <w:r>
        <w:t xml:space="preserve">Department of Health and Aged Care, Australian Government. NDIS Operational Guidelines and Updates.</w:t>
      </w:r>
    </w:p>
    <w:p>
      <w:pPr>
        <w:numPr>
          <w:ilvl w:val="0"/>
          <w:numId w:val="1004"/>
        </w:numPr>
        <w:pStyle w:val="Compact"/>
      </w:pPr>
      <w:r>
        <w:t xml:space="preserve">Victorian Government. Better Health Channel: Occupational Therapy Services Overview.</w:t>
      </w:r>
    </w:p>
    <w:p>
      <w:pPr>
        <w:pStyle w:val="FirstParagraph"/>
      </w:pPr>
      <w:r>
        <w:t xml:space="preserve">© 2023 Strategic Planning Committee for Allied Health in Victoria.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Australia Melbourne</dc:title>
  <dc:creator/>
  <dc:language>en</dc:language>
  <cp:keywords/>
  <dcterms:created xsi:type="dcterms:W3CDTF">2026-07-29T18:58:49Z</dcterms:created>
  <dcterms:modified xsi:type="dcterms:W3CDTF">2026-07-29T18:58:49Z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