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X8b823696a8439314be8da74c34b311b8b99caa8"/>
    <w:p>
      <w:pPr>
        <w:pStyle w:val="Heading1"/>
      </w:pPr>
      <w:r>
        <w:t xml:space="preserve">Project Report: Integration of the Occupational Therapist Role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Health &amp; Humanitarian Aid Coalition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Implementation Team, Sudan Khartoum Branch</w:t>
      </w:r>
      <w:r>
        <w:br/>
      </w:r>
    </w:p>
    <w:p>
      <w:pPr>
        <w:pStyle w:val="BodyText"/>
      </w:pPr>
      <w:r>
        <w:t xml:space="preserve">Subject:Status Report and Strategic Analysis for the Deployment of an Occupational Therapist in Sudan Khartoum1. Introduction</w:t>
      </w:r>
    </w:p>
    <w:p>
      <w:pPr>
        <w:pStyle w:val="BodyText"/>
      </w:pPr>
      <w:r>
        <w:t xml:space="preserve">The humanitarian crisis in Sudan has reached a critical juncture, with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bearing the brunt of prolonged conflict and subsequent socioeconomic collapse.</w:t>
      </w:r>
      <w:r>
        <w:br/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Sudan Khartoum. The primary objective is to restore functionality, autonomy, and quality of life for civilians displaced by violence or suffering from war-related injuries.</w:t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Sudan Khartoum. The primary objective is to restore functionality, autonomy, and quality of life for civilians displaced by violence or suffering from war-related injuries.</w:t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Sudan Khartoum. The primary objective is to restore functionality, autonomy, and quality of life for civilians displaced by violence or suffering from war-related injuries.</w:t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Sudan Khartoum. The primary objective is to restore functionality, autonomy, and quality of life for civilians displaced by violence or suffering from war-related injuries.</w:t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Sudan Khartoum. The primary objective is to restore functionality, autonomy, and quality of life for civilians displaced by violence or suffering from war-related injuries.</w:t>
      </w:r>
      <w:r>
        <w:t xml:space="preserve">As such, this document outlines the urgent necessity and strategic framework for establishing a dedicated</w:t>
      </w:r>
      <w:r>
        <w:t xml:space="preserve"> </w:t>
      </w:r>
      <w:r>
        <w:rPr>
          <w:bCs/>
          <w:b/>
        </w:rPr>
        <w:t xml:space="preserve">Occupational Therapist position within local healthcare facilities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 to restore functionality, autonomy, and quality of life for civilians displaced by violence or suffering from war-related injuries.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As such, this document outlines the urgent necessity and strategic framework for establishing a dedicated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Occupational Therapist position within local healthcare facilities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Sudan Khartoum. The primary objective is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Occupational Therapist Initiative in Sudan Khartoum</dc:title>
  <dc:creator/>
  <dc:language>en</dc:language>
  <cp:keywords/>
  <dcterms:created xsi:type="dcterms:W3CDTF">2026-07-29T16:56:48Z</dcterms:created>
  <dcterms:modified xsi:type="dcterms:W3CDTF">2026-07-29T16:56:48Z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