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Ophthalmologist</w:t>
      </w:r>
      <w:r>
        <w:t xml:space="preserve"> </w:t>
      </w:r>
      <w:r>
        <w:t xml:space="preserve">Services</w:t>
      </w:r>
      <w:r>
        <w:t xml:space="preserve"> </w:t>
      </w:r>
      <w:r>
        <w:t xml:space="preserve">in</w:t>
      </w:r>
      <w:r>
        <w:t xml:space="preserve"> </w:t>
      </w:r>
      <w:r>
        <w:t xml:space="preserve">Australia</w:t>
      </w:r>
      <w:r>
        <w:t xml:space="preserve"> </w:t>
      </w:r>
      <w:r>
        <w:t xml:space="preserve">Melbourne</w:t>
      </w:r>
    </w:p>
    <w:bookmarkStart w:id="32" w:name="X0a054e193791342aca6d2e4df4c44f9aa224bde"/>
    <w:p>
      <w:pPr>
        <w:pStyle w:val="Heading1"/>
      </w:pPr>
      <w:r>
        <w:t xml:space="preserve">Strategic Implementation Report for Ophthalmologist Services in Australia Melbourne</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Stakeholders and Health Department Officials</w:t>
      </w:r>
      <w:r>
        <w:br/>
      </w:r>
      <w:r>
        <w:br/>
      </w:r>
    </w:p>
    <w:bookmarkStart w:id="20" w:name="executive-summary"/>
    <w:p>
      <w:pPr>
        <w:pStyle w:val="Heading2"/>
      </w:pPr>
      <w:r>
        <w:t xml:space="preserve">1. Executive Summary</w:t>
      </w:r>
    </w:p>
    <w:p>
      <w:pPr>
        <w:pStyle w:val="FirstParagraph"/>
      </w:pPr>
      <w:r>
        <w:t xml:space="preserve">This Project Report outlines the strategic framework, operational requirements, and clinical considerations necessary for establishing and expanding high-quality ophthalmologist services within the metropolitan area of Australia Melbourne. As a leading hub for healthcare innovation in the Southern Hemisphere, Australia Melbourne presents unique demographic challenges and opportunities. This document details how specialized eye care can be optimized to meet the rising demand driven by an aging population, increased digital screen exposure, and specific public health initiatives inherent to the Australian healthcare landscape.</w:t>
      </w:r>
    </w:p>
    <w:bookmarkEnd w:id="20"/>
    <w:bookmarkStart w:id="21" w:name="introduction-and-background"/>
    <w:p>
      <w:pPr>
        <w:pStyle w:val="Heading2"/>
      </w:pPr>
      <w:r>
        <w:t xml:space="preserve">2. Introduction and Background</w:t>
      </w:r>
    </w:p>
    <w:p>
      <w:pPr>
        <w:pStyle w:val="FirstParagraph"/>
      </w:pPr>
      <w:r>
        <w:t xml:space="preserve">The demand for specialized medical services in Australia Melbourne has seen a significant surge in recent years. Ophthalmology, as a critical branch of medicine dealing with the diagnosis and treatment of eye disorders, plays a pivotal role in maintaining public health. In the context of Australia Melbourne, this specialty is not merely about corrective surgery but encompasses comprehensive management of chronic conditions such as diabetic retinopathy and glaucoma.</w:t>
      </w:r>
    </w:p>
    <w:p>
      <w:pPr>
        <w:pStyle w:val="BodyText"/>
      </w:pPr>
      <w:r>
        <w:t xml:space="preserve">The primary objective of this project is to analyze the current service gaps in Australia Melbourne regarding ophthalmologist availability and to propose a scalable model for service delivery that aligns with the standards set by the Royal Australian and New Zealand College of Ophthalmologists (RANZCO). By focusing on Australia Melbourne, we address specific local regulatory environments, patient demographics, and technological adoption rates unique to this region.</w:t>
      </w:r>
    </w:p>
    <w:bookmarkEnd w:id="21"/>
    <w:bookmarkStart w:id="24" w:name="X01784e789907e721303572a156a66b903fe9d7e"/>
    <w:p>
      <w:pPr>
        <w:pStyle w:val="Heading2"/>
      </w:pPr>
      <w:r>
        <w:t xml:space="preserve">3. Market Analysis: The Context of Australia Melbourne</w:t>
      </w:r>
    </w:p>
    <w:bookmarkStart w:id="22" w:name="demographic-drivers"/>
    <w:p>
      <w:pPr>
        <w:pStyle w:val="Heading3"/>
      </w:pPr>
      <w:r>
        <w:t xml:space="preserve">3.1 Demographic Drivers</w:t>
      </w:r>
    </w:p>
    <w:p>
      <w:pPr>
        <w:pStyle w:val="FirstParagraph"/>
      </w:pPr>
      <w:r>
        <w:t xml:space="preserve">Melbourne is experiencing rapid population growth, with a significant proportion of residents falling into the age bracket most susceptible to age-related eye diseases (AREDS). The aging demographic in suburbs such as St Kilda and Brighton necessitates a robust infrastructure for managing cataracts, macular degeneration, and glaucoma. Furthermore, Melbourne’s status as Australia’s health capital means it attracts medical tourists from across Asia-Pacific who require complex ophthalmologist interventions.</w:t>
      </w:r>
    </w:p>
    <w:bookmarkEnd w:id="22"/>
    <w:bookmarkStart w:id="23" w:name="technological-integration"/>
    <w:p>
      <w:pPr>
        <w:pStyle w:val="Heading3"/>
      </w:pPr>
      <w:r>
        <w:t xml:space="preserve">3.2 Technological Integration</w:t>
      </w:r>
    </w:p>
    <w:p>
      <w:pPr>
        <w:pStyle w:val="FirstParagraph"/>
      </w:pPr>
      <w:r>
        <w:t xml:space="preserve">Australia Melbourne is at the forefront of digital health adoption. The integration of Artificial Intelligence (AI) in diagnostic imaging, tele-ophthalmology for remote consultations, and robotic-assisted surgery are not just futuristic concepts but current realities being piloted in local clinics. This report emphasizes the need for ophthalmologist practices in Australia Melbourne to adopt these technologies to reduce wait times and improve diagnostic accuracy.</w:t>
      </w:r>
    </w:p>
    <w:bookmarkEnd w:id="23"/>
    <w:bookmarkEnd w:id="24"/>
    <w:bookmarkStart w:id="27" w:name="operational-framework"/>
    <w:p>
      <w:pPr>
        <w:pStyle w:val="Heading2"/>
      </w:pPr>
      <w:r>
        <w:t xml:space="preserve">4. Operational Framework</w:t>
      </w:r>
    </w:p>
    <w:bookmarkStart w:id="25" w:name="service-delivery-models"/>
    <w:p>
      <w:pPr>
        <w:pStyle w:val="Heading3"/>
      </w:pPr>
      <w:r>
        <w:t xml:space="preserve">4.1 Service Delivery Models</w:t>
      </w:r>
    </w:p>
    <w:p>
      <w:pPr>
        <w:pStyle w:val="FirstParagraph"/>
      </w:pPr>
      <w:r>
        <w:t xml:space="preserve">To effectively serve the population of Australia Melbourne, a hybrid service model is recommended:</w:t>
      </w:r>
    </w:p>
    <w:p>
      <w:pPr>
        <w:numPr>
          <w:ilvl w:val="0"/>
          <w:numId w:val="1001"/>
        </w:numPr>
        <w:pStyle w:val="Compact"/>
      </w:pPr>
      <w:r>
        <w:rPr>
          <w:bCs/>
          <w:b/>
        </w:rPr>
        <w:t xml:space="preserve">Hospital-Based Care:</w:t>
      </w:r>
      <w:r>
        <w:t xml:space="preserve"> </w:t>
      </w:r>
      <w:r>
        <w:t xml:space="preserve">For complex surgeries and emergency trauma, collaboration with major public hospitals in Melbourne (e.g., Royal Victorian Eye and Ear Hospital) is essential.</w:t>
      </w:r>
    </w:p>
    <w:p>
      <w:pPr>
        <w:numPr>
          <w:ilvl w:val="0"/>
          <w:numId w:val="1001"/>
        </w:numPr>
        <w:pStyle w:val="Compact"/>
      </w:pPr>
      <w:r>
        <w:rPr>
          <w:bCs/>
          <w:b/>
        </w:rPr>
        <w:t xml:space="preserve">Private Practice Hubs:In suburban areas, establishing specialized clinics that offer routine screenings and minor procedures can alleviate pressure on public infrastructure. These hubs must be staffed by qualified ophthalmologist professionals to ensure continuity of care.</w:t>
      </w:r>
    </w:p>
    <w:bookmarkEnd w:id="25"/>
    <w:bookmarkStart w:id="26" w:name="regulatory-compliance"/>
    <w:p>
      <w:pPr>
        <w:pStyle w:val="Heading3"/>
      </w:pPr>
      <w:r>
        <w:t xml:space="preserve">4.2 Regulatory Compliance</w:t>
      </w:r>
    </w:p>
    <w:p>
      <w:pPr>
        <w:pStyle w:val="FirstParagraph"/>
      </w:pPr>
      <w:r>
        <w:t xml:space="preserve">All ophthalmologist services in Australia Melbourne must strictly adhere to the regulations set by the Australian Health Practitioner Regulation Agency (AHPRA) and the Medical Board of Australia. This includes maintaining continuous professional development (CPD), adhering to strict infection control protocols, and ensuring privacy compliance under the Privacy Act 1988.</w:t>
      </w:r>
    </w:p>
    <w:bookmarkEnd w:id="26"/>
    <w:bookmarkEnd w:id="27"/>
    <w:bookmarkStart w:id="28" w:name="X8f7b00223a1a7322ad8e7a912da95401efb506c"/>
    <w:p>
      <w:pPr>
        <w:pStyle w:val="Heading2"/>
      </w:pPr>
      <w:r>
        <w:t xml:space="preserve">5. Financial Implications and Sustainability</w:t>
      </w:r>
    </w:p>
    <w:p>
      <w:pPr>
        <w:pStyle w:val="FirstParagraph"/>
      </w:pPr>
      <w:r>
        <w:t xml:space="preserve">The financial model for ophthalmologist services in Australia Melbourne relies on a mix of private health insurance rebates, Medicare Benefits Schedule (MBS) items, and out-of-pocket payments for advanced technologies not fully covered by government schemes.</w:t>
      </w:r>
    </w:p>
    <w:p>
      <w:pPr>
        <w:pStyle w:val="BodyText"/>
      </w:pPr>
      <w:r>
        <w:t xml:space="preserve">Cost Component</w:t>
      </w:r>
    </w:p>
    <w:p>
      <w:pPr>
        <w:pStyle w:val="BodyText"/>
      </w:pPr>
      <w:r>
        <w:t xml:space="preserve">Description</w:t>
      </w:r>
    </w:p>
    <w:p>
      <w:pPr>
        <w:pStyle w:val="BodyText"/>
      </w:pPr>
      <w:r>
        <w:t xml:space="preserve">Predicted Impact on Ophthalmologist Services in Australia Melbourne</w:t>
      </w:r>
    </w:p>
    <w:p>
      <w:pPr>
        <w:pStyle w:val="BodyText"/>
      </w:pPr>
      <w:r>
        <w:t xml:space="preserve">R&amp;D InvestmentTech Adoption for Diagnostics/Tr</w:t>
      </w:r>
    </w:p>
    <w:bookmarkEnd w:id="28"/>
    <w:bookmarkStart w:id="29" w:name="challenges-and-risk-mitigation"/>
    <w:p>
      <w:pPr>
        <w:pStyle w:val="Heading2"/>
      </w:pPr>
      <w:r>
        <w:t xml:space="preserve">6. Challenges and Risk Mitigation</w:t>
      </w:r>
    </w:p>
    <w:p>
      <w:pPr>
        <w:pStyle w:val="FirstParagraph"/>
      </w:pPr>
      <w:r>
        <w:rPr>
          <w:bCs/>
          <w:b/>
        </w:rPr>
        <w:t xml:space="preserve">Burnout and Retention:</w:t>
      </w:r>
      <w:r>
        <w:br/>
      </w:r>
      <w:r>
        <w:t xml:space="preserve">The high demand for ophthalmologist services in Australia Melbourne can lead to professional burnout among specialists. Mitigation strategies include implementing rotational shifts, providing mental health support, and utilizing administrative AI tools to reduce paperwork burden.</w:t>
      </w:r>
    </w:p>
    <w:p>
      <w:pPr>
        <w:pStyle w:val="BodyText"/>
      </w:pPr>
      <w:r>
        <w:rPr>
          <w:bCs/>
          <w:b/>
        </w:rPr>
        <w:t xml:space="preserve">Socioeconomic Disparities:</w:t>
      </w:r>
      <w:r>
        <w:br/>
      </w:r>
      <w:r>
        <w:t xml:space="preserve">Access to specialized eye care in outer suburban Melbourne can be limited compared to the CBD. The project includes a community outreach component where ophthalmologist teams conduct mobile screening clinics in underserved areas to ensure equitable access.</w:t>
      </w:r>
    </w:p>
    <w:bookmarkEnd w:id="29"/>
    <w:bookmarkStart w:id="30" w:name="conclusion-and-recommendations"/>
    <w:p>
      <w:pPr>
        <w:pStyle w:val="Heading2"/>
      </w:pPr>
      <w:r>
        <w:t xml:space="preserve">7. Conclusion and Recommendations</w:t>
      </w:r>
    </w:p>
    <w:p>
      <w:pPr>
        <w:pStyle w:val="FirstParagraph"/>
      </w:pPr>
      <w:r>
        <w:t xml:space="preserve">The establishment and expansion of ophthalmologist services in Australia Melbourne represent a critical investment in public health infrastructure. By leveraging technological advancements, adhering to rigorous Australian regulatory standards, and addressing the specific demographic needs of the city, this project aims to create a sustainable model for eye care.</w:t>
      </w:r>
    </w:p>
    <w:p>
      <w:pPr>
        <w:pStyle w:val="BodyText"/>
      </w:pPr>
      <w:r>
        <w:t xml:space="preserve">We recommend immediate approval for Phase 1 pilot programs in two key Melbourne suburbs. This will allow for data collection on patient outcomes and operational efficiency before broader rollout. The ultimate goal is to position Australia Melbourne as a global exemplar of efficient, high-tech ophthalmologist service delivery.</w:t>
      </w:r>
    </w:p>
    <w:bookmarkEnd w:id="30"/>
    <w:bookmarkStart w:id="31" w:name="appendices"/>
    <w:p>
      <w:pPr>
        <w:pStyle w:val="Heading2"/>
      </w:pPr>
      <w:r>
        <w:t xml:space="preserve">8. Appendices</w:t>
      </w:r>
    </w:p>
    <w:p>
      <w:pPr>
        <w:numPr>
          <w:ilvl w:val="0"/>
          <w:numId w:val="1002"/>
        </w:numPr>
        <w:pStyle w:val="Compact"/>
      </w:pPr>
      <w:r>
        <w:rPr>
          <w:bCs/>
          <w:b/>
        </w:rPr>
        <w:t xml:space="preserve">Appendix A:</w:t>
      </w:r>
      <w:r>
        <w:t xml:space="preserve">RANZCO Standards for Ophthalmologist Practice</w:t>
      </w:r>
    </w:p>
    <w:p>
      <w:pPr>
        <w:numPr>
          <w:ilvl w:val="0"/>
          <w:numId w:val="1002"/>
        </w:numPr>
        <w:pStyle w:val="Compact"/>
      </w:pPr>
      <w:r>
        <w:rPr>
          <w:bCs/>
          <w:b/>
        </w:rPr>
        <w:t xml:space="preserve">B:Medicare Benefits Schedule Relevant to Eye CareC:Demographic Projections for Australia Melbourne 2023-2033</w:t>
      </w:r>
    </w:p>
    <w:p>
      <w:r>
        <w:pict>
          <v:rect style="width:0;height:1.5pt" o:hralign="center" o:hrstd="t" o:hr="t"/>
        </w:pict>
      </w:r>
    </w:p>
    <w:p>
      <w:pPr>
        <w:pStyle w:val="FirstParagraph"/>
      </w:pPr>
      <w:r>
        <w:rPr>
          <w:bCs/>
          <w:b/>
        </w:rPr>
        <w:t xml:space="preserve">Note:</w:t>
      </w:r>
      <w:r>
        <w:t xml:space="preserve"> </w:t>
      </w:r>
      <w:r>
        <w:t xml:space="preserve">This Project Report is tailored specifically to the healthcare landscape of Australia Melbourne, emphasizing the critical role of the Ophthalmologist in modern medical infrastructure.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Ophthalmologist Services in Australia Melbourne</dc:title>
  <dc:creator/>
  <dc:language>en</dc:language>
  <cp:keywords/>
  <dcterms:created xsi:type="dcterms:W3CDTF">2026-07-29T06:56:36Z</dcterms:created>
  <dcterms:modified xsi:type="dcterms:W3CDTF">2026-07-29T06:56:36Z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