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an</w:t>
      </w:r>
      <w:r>
        <w:t xml:space="preserve"> </w:t>
      </w:r>
      <w:r>
        <w:t xml:space="preserve">Advanced</w:t>
      </w:r>
      <w:r>
        <w:t xml:space="preserve"> </w:t>
      </w:r>
      <w:r>
        <w:t xml:space="preserve">Ophthalmologist</w:t>
      </w:r>
      <w:r>
        <w:t xml:space="preserve"> </w:t>
      </w:r>
      <w:r>
        <w:t xml:space="preserve">Clinic</w:t>
      </w:r>
      <w:r>
        <w:t xml:space="preserve"> </w:t>
      </w:r>
      <w:r>
        <w:t xml:space="preserve">in</w:t>
      </w:r>
      <w:r>
        <w:t xml:space="preserve"> </w:t>
      </w:r>
      <w:r>
        <w:t xml:space="preserve">Australia</w:t>
      </w:r>
      <w:r>
        <w:t xml:space="preserve"> </w:t>
      </w:r>
      <w:r>
        <w:t xml:space="preserve">Sydney</w:t>
      </w:r>
    </w:p>
    <w:bookmarkStart w:id="20" w:name="X1beab30819d08182b10933aa6eb2f13e4e72dbf"/>
    <w:p>
      <w:pPr>
        <w:pStyle w:val="Heading1"/>
      </w:pPr>
      <w:r>
        <w:t xml:space="preserve">Project Report: Establishment of an Advanced Ophthalmologist Clinic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 Project Management Office</w:t>
      </w:r>
      <w:r>
        <w:br/>
      </w:r>
    </w:p>
    <w:bookmarkEnd w:id="20"/>
    <w:bookmarkStart w:id="32" w:name="executive-summary"/>
    <w:p>
      <w:pPr>
        <w:pStyle w:val="Heading1"/>
      </w:pPr>
      <w:r>
        <w:t xml:space="preserve">Executive Summary</w:t>
      </w:r>
    </w:p>
    <w:p>
      <w:pPr>
        <w:pStyle w:val="FirstParagraph"/>
      </w:pPr>
      <w:r>
        <w:t xml:space="preserve">This Project Report outlines the comprehensive strategy, operational framework, and market analysis for establishing a state-of-the-art ophthalmologist practice in Australia Sydney. As one of the most vibrant and demographically diverse cities in the Southern Hemisphere, Australia Sydney presents a unique opportunity for specialized healthcare providers. The demand for high-quality eye care services is rising due to an aging population, increased digital screen time among younger demographics, and a growing prevalence of lifestyle-related eye conditions such as cataracts and glaucoma. This document details the clinical requirements, regulatory compliance with Australian standards, technological infrastructure necessary for world-class ophthalmologist services, and the strategic positioning required to serve the residents of Australia Sydney effectively.</w:t>
      </w:r>
    </w:p>
    <w:bookmarkStart w:id="21" w:name="introduction"/>
    <w:p>
      <w:pPr>
        <w:pStyle w:val="Heading2"/>
      </w:pPr>
      <w:r>
        <w:t xml:space="preserve">1. Introduction</w:t>
      </w:r>
    </w:p>
    <w:p>
      <w:pPr>
        <w:pStyle w:val="FirstParagraph"/>
      </w:pPr>
      <w:r>
        <w:t xml:space="preserve">The primary objective of this project is to launch a dedicated ophthalmologist clinic that integrates advanced diagnostic technology with compassionate patient care. The location selected for this venture is within the central business district and surrounding suburbs of Australia Sydney, ensuring accessibility for both local residents and international visitors. An ophthalmologist is a medical doctor who specializes in eye and vision care, including medical treatment, surgery, and optical aids. By focusing on the specific needs of the population in Australia Sydney, this project aims to reduce waiting times for surgical procedures such as LASIK and cataract removal while providing comprehensive management for chronic ocular diseases.</w:t>
      </w:r>
    </w:p>
    <w:bookmarkEnd w:id="21"/>
    <w:bookmarkStart w:id="22" w:name="X3b655906b96ba05fa07537d02e54390b0cb0d6d"/>
    <w:p>
      <w:pPr>
        <w:pStyle w:val="Heading2"/>
      </w:pPr>
      <w:r>
        <w:t xml:space="preserve">2. Market Analysis: The Context of Australia Sydney</w:t>
      </w:r>
    </w:p>
    <w:p>
      <w:pPr>
        <w:pStyle w:val="FirstParagraph"/>
      </w:pPr>
      <w:r>
        <w:t xml:space="preserve">The healthcare landscape in Australia is robust, characterized by a mix of public Medicare services and private healthcare providers. In Australia Sydney, the demand for private ophthalmologist services is driven by several key factors:</w:t>
      </w:r>
    </w:p>
    <w:p>
      <w:pPr>
        <w:numPr>
          <w:ilvl w:val="0"/>
          <w:numId w:val="1001"/>
        </w:numPr>
        <w:pStyle w:val="Compact"/>
      </w:pPr>
      <w:r>
        <w:rPr>
          <w:bCs/>
          <w:b/>
        </w:rPr>
        <w:t xml:space="preserve">Demographic Shifts:</w:t>
      </w:r>
      <w:r>
        <w:t xml:space="preserve"> </w:t>
      </w:r>
      <w:r>
        <w:t xml:space="preserve">The population of Australia Sydney is aging. Age-related eye conditions, including age-related macular degeneration (AMD), glaucoma, and cataracts, are becoming increasingly common. This demographic trend necessitates a clinic equipped to handle complex surgical cases.</w:t>
      </w:r>
    </w:p>
    <w:p>
      <w:pPr>
        <w:numPr>
          <w:ilvl w:val="0"/>
          <w:numId w:val="1001"/>
        </w:numPr>
        <w:pStyle w:val="Compact"/>
      </w:pPr>
      <w:r>
        <w:rPr>
          <w:bCs/>
          <w:b/>
        </w:rPr>
        <w:t xml:space="preserve">Lifestyle Factors:</w:t>
      </w:r>
      <w:r>
        <w:t xml:space="preserve"> </w:t>
      </w:r>
      <w:r>
        <w:t xml:space="preserve">Residents of Australia Sydney have high rates of outdoor activity due to the favorable climate. While beneficial for general health, this increases exposure to UV radiation, raising the risk of pterygium and cataracts. Furthermore, the high usage of digital devices among professionals in this metropolitan hub contributes to a rise in dry eye syndrome and digital eye strain.</w:t>
      </w:r>
    </w:p>
    <w:p>
      <w:pPr>
        <w:numPr>
          <w:ilvl w:val="0"/>
          <w:numId w:val="1001"/>
        </w:numPr>
        <w:pStyle w:val="Compact"/>
      </w:pPr>
      <w:r>
        <w:rPr>
          <w:bCs/>
          <w:b/>
        </w:rPr>
        <w:t xml:space="preserve">Tourism and Expat Community:</w:t>
      </w:r>
      <w:r>
        <w:t xml:space="preserve"> </w:t>
      </w:r>
      <w:r>
        <w:t xml:space="preserve">As a global city, Australia Sydney attracts significant tourism. Travelers often require emergency eye care or second opinions from specialized ophthalmologist experts not available in their home countries. Catering to this transient population requires a clinic with flexible scheduling and English as well as multilingual support staff.</w:t>
      </w:r>
    </w:p>
    <w:p>
      <w:pPr>
        <w:numPr>
          <w:ilvl w:val="0"/>
          <w:numId w:val="1001"/>
        </w:numPr>
        <w:pStyle w:val="Compact"/>
      </w:pPr>
      <w:r>
        <w:rPr>
          <w:bCs/>
          <w:b/>
        </w:rPr>
        <w:t xml:space="preserve">Aesthetic Demand:</w:t>
      </w:r>
      <w:r>
        <w:t xml:space="preserve"> </w:t>
      </w:r>
      <w:r>
        <w:t xml:space="preserve">There is a growing trend in refractive surgery (LASIK/PRK) among young professionals in Australia Sydney seeking freedom from corrective lenses for both convenience and aesthetic reasons. This represents a high-growth revenue stream for the clinic.</w:t>
      </w:r>
    </w:p>
    <w:bookmarkEnd w:id="22"/>
    <w:bookmarkStart w:id="23" w:name="clinical-scope-of-services"/>
    <w:p>
      <w:pPr>
        <w:pStyle w:val="Heading2"/>
      </w:pPr>
      <w:r>
        <w:t xml:space="preserve">3. Clinical Scope of Services</w:t>
      </w:r>
    </w:p>
    <w:p>
      <w:pPr>
        <w:pStyle w:val="FirstParagraph"/>
      </w:pPr>
      <w:r>
        <w:t xml:space="preserve">To function effectively as a premier ophthalmologist center, the clinic will offer a broad spectrum of services tailored to the diverse needs of Australia Sydney’s population:</w:t>
      </w:r>
    </w:p>
    <w:p>
      <w:pPr>
        <w:numPr>
          <w:ilvl w:val="0"/>
          <w:numId w:val="1002"/>
        </w:numPr>
        <w:pStyle w:val="Compact"/>
      </w:pPr>
      <w:r>
        <w:rPr>
          <w:bCs/>
          <w:b/>
        </w:rPr>
        <w:t xml:space="preserve">Cataract Surgery:</w:t>
      </w:r>
      <w:r>
        <w:t xml:space="preserve"> </w:t>
      </w:r>
      <w:r>
        <w:t xml:space="preserve">Utilizing femtosecond laser-assisted cataract surgery for precision and faster recovery times.</w:t>
      </w:r>
    </w:p>
    <w:p>
      <w:pPr>
        <w:numPr>
          <w:ilvl w:val="0"/>
          <w:numId w:val="1002"/>
        </w:numPr>
        <w:pStyle w:val="Compact"/>
      </w:pPr>
      <w:r>
        <w:rPr>
          <w:bCs/>
          <w:b/>
        </w:rPr>
        <w:t xml:space="preserve">Refractive Surgery:</w:t>
      </w:r>
      <w:r>
        <w:t xml:space="preserve"> </w:t>
      </w:r>
      <w:r>
        <w:t xml:space="preserve">Providing LASIK, PRK, and SMILE procedures for myopia, hyperopia, and astigmatism correction.</w:t>
      </w:r>
    </w:p>
    <w:p>
      <w:pPr>
        <w:numPr>
          <w:ilvl w:val="0"/>
          <w:numId w:val="1002"/>
        </w:numPr>
        <w:pStyle w:val="Compact"/>
      </w:pPr>
      <w:r>
        <w:rPr>
          <w:bCs/>
          <w:b/>
        </w:rPr>
        <w:t xml:space="preserve">Glucoma Management:</w:t>
      </w:r>
      <w:r>
        <w:t xml:space="preserve"> </w:t>
      </w:r>
      <w:r>
        <w:t xml:space="preserve">Advanced diagnostic screening using OCT (Optical Coherence Tomography) and visual field testing to detect early-stage glaucoma.</w:t>
      </w:r>
    </w:p>
    <w:p>
      <w:pPr>
        <w:numPr>
          <w:ilvl w:val="0"/>
          <w:numId w:val="1002"/>
        </w:numPr>
        <w:pStyle w:val="Compact"/>
      </w:pPr>
      <w:r>
        <w:rPr>
          <w:bCs/>
          <w:b/>
        </w:rPr>
        <w:t xml:space="preserve">Retina Care:</w:t>
      </w:r>
      <w:r>
        <w:t xml:space="preserve"> </w:t>
      </w:r>
      <w:r>
        <w:t xml:space="preserve">Treatment for diabetic retinopathy and macular degeneration, including intravitreal injections which are becoming increasingly common in the Australian population due to rising diabetes rates.</w:t>
      </w:r>
    </w:p>
    <w:p>
      <w:pPr>
        <w:numPr>
          <w:ilvl w:val="0"/>
          <w:numId w:val="1002"/>
        </w:numPr>
        <w:pStyle w:val="Compact"/>
      </w:pPr>
      <w:r>
        <w:t xml:space="preserve">Pediatric Ophthalmology:</w:t>
      </w:r>
    </w:p>
    <w:bookmarkEnd w:id="23"/>
    <w:bookmarkStart w:id="24" w:name="regulatory-compliance-and-accreditation"/>
    <w:p>
      <w:pPr>
        <w:pStyle w:val="Heading2"/>
      </w:pPr>
      <w:r>
        <w:t xml:space="preserve">4. Regulatory Compliance and Accreditation</w:t>
      </w:r>
    </w:p>
    <w:p>
      <w:pPr>
        <w:pStyle w:val="FirstParagraph"/>
      </w:pPr>
      <w:r>
        <w:t xml:space="preserve">Operating an ophthalmologist clinic in Australia requires strict adherence to national healthcare regulations. Key compliance aspects include:</w:t>
      </w:r>
    </w:p>
    <w:p>
      <w:pPr>
        <w:numPr>
          <w:ilvl w:val="0"/>
          <w:numId w:val="1003"/>
        </w:numPr>
        <w:pStyle w:val="Compact"/>
      </w:pPr>
      <w:r>
        <w:rPr>
          <w:bCs/>
          <w:b/>
        </w:rPr>
        <w:t xml:space="preserve">AHPRA Registration:</w:t>
      </w:r>
      <w:r>
        <w:t xml:space="preserve">All ophthalmologist doctors must be registered with the Australian Health Practitioner Regulation Agency (AHPRA) and hold specialist fellowship status with the Royal Australasian College of Surgeons (FRACS) or equivalent.</w:t>
      </w:r>
    </w:p>
    <w:p>
      <w:pPr>
        <w:numPr>
          <w:ilvl w:val="0"/>
          <w:numId w:val="1003"/>
        </w:numPr>
        <w:pStyle w:val="Compact"/>
      </w:pPr>
      <w:r>
        <w:t xml:space="preserve">RACMA Standards:BThe clinic must meet accreditation standards set by relevant medical colleges to ensure patient safety and clinical governance.</w:t>
      </w:r>
    </w:p>
    <w:p>
      <w:pPr>
        <w:numPr>
          <w:ilvl w:val="0"/>
          <w:numId w:val="1003"/>
        </w:numPr>
        <w:pStyle w:val="Compact"/>
      </w:pPr>
      <w:r>
        <w:t xml:space="preserve">MBS and PBS Alignment:The clinic will be registered to claim fees under the Medicare Benefits Schedule (MBS) for eligible conditions. This is crucial for affordability for patients in Australia Sydney. Additionally, pharmaceuticals used in treatments will align with the Pharmaceutical Benefits Scheme (PBS).</w:t>
      </w:r>
    </w:p>
    <w:p>
      <w:pPr>
        <w:numPr>
          <w:ilvl w:val="0"/>
          <w:numId w:val="1003"/>
        </w:numPr>
        <w:pStyle w:val="Compact"/>
      </w:pPr>
      <w:r>
        <w:t xml:space="preserve">Infection Control: Strict sterilization protocols must be followed, adhering to guidelines from the Department of Health to prevent cross-contamination in surgical suites.</w:t>
      </w:r>
    </w:p>
    <w:bookmarkEnd w:id="24"/>
    <w:bookmarkStart w:id="28" w:name="infrastructure-and-technology"/>
    <w:p>
      <w:pPr>
        <w:pStyle w:val="Heading2"/>
      </w:pPr>
      <w:r>
        <w:t xml:space="preserve">5. Infrastructure and Technology</w:t>
      </w:r>
    </w:p>
    <w:p>
      <w:pPr>
        <w:pStyle w:val="FirstParagraph"/>
      </w:pPr>
      <w:r>
        <w:t xml:space="preserve">The physical infrastructure of the ophthalmologist clinic will be designed for efficiency and patient comfort. In a bustling city like Australia Sydney, minimizing wait times is critical to patient satisfaction.</w:t>
      </w:r>
    </w:p>
    <w:bookmarkStart w:id="25" w:name="diagnostics"/>
    <w:p>
      <w:pPr>
        <w:pStyle w:val="Heading3"/>
      </w:pPr>
      <w:r>
        <w:t xml:space="preserve">Diagnostics</w:t>
      </w:r>
    </w:p>
    <w:p>
      <w:pPr>
        <w:pStyle w:val="FirstParagraph"/>
      </w:pPr>
      <w:r>
        <w:t xml:space="preserve">The facility will house next-generation diagnostic equipment, including spectral-domain OCT scanners, wide-field fundus cameras, and automated perimetry devices. These technologies allow the ophthalmologist team to diagnose conditions earlier and more accurately than traditional methods.</w:t>
      </w:r>
    </w:p>
    <w:bookmarkEnd w:id="25"/>
    <w:bookmarkStart w:id="26" w:name="surgical-suite"/>
    <w:p>
      <w:pPr>
        <w:pStyle w:val="Heading3"/>
      </w:pPr>
      <w:r>
        <w:t xml:space="preserve">Surgical Suite</w:t>
      </w:r>
    </w:p>
    <w:p>
      <w:pPr>
        <w:pStyle w:val="FirstParagraph"/>
      </w:pPr>
      <w:r>
        <w:t xml:space="preserve">A dedicated operating theater will be equipped with laminar airflow systems to reduce infection risks. The suite will support phacoemulsification units and femtosecond lasers. Given the high volume of cataract surgeries anticipated in Australia Sydney, efficiency in turnover time between patients is paramount.</w:t>
      </w:r>
    </w:p>
    <w:bookmarkEnd w:id="26"/>
    <w:bookmarkStart w:id="27" w:name="patient-experience"/>
    <w:p>
      <w:pPr>
        <w:pStyle w:val="Heading3"/>
      </w:pPr>
      <w:r>
        <w:t xml:space="preserve">Patient Experience</w:t>
      </w:r>
    </w:p>
    <w:p>
      <w:pPr>
        <w:pStyle w:val="FirstParagraph"/>
      </w:pPr>
      <w:r>
        <w:t xml:space="preserve">The waiting areas will be designed to provide a calming environment, contrasting with the busy urban atmosphere outside. Digital check-in kiosks will streamline administrative processes. Telehealth capabilities will also be integrated, allowing follow-up consultations for patients in Australia Sydney who may find travel difficult.</w:t>
      </w:r>
    </w:p>
    <w:bookmarkEnd w:id="27"/>
    <w:bookmarkEnd w:id="28"/>
    <w:bookmarkStart w:id="29" w:name="human-resources-and-staffing"/>
    <w:p>
      <w:pPr>
        <w:pStyle w:val="Heading2"/>
      </w:pPr>
      <w:r>
        <w:t xml:space="preserve">6. Human Resources and Staffing</w:t>
      </w:r>
    </w:p>
    <w:p>
      <w:pPr>
        <w:pStyle w:val="FirstParagraph"/>
      </w:pPr>
      <w:r>
        <w:t xml:space="preserve">The success of the ophthalmologist practice relies on a multidisciplinary team. Key roles include:</w:t>
      </w:r>
    </w:p>
    <w:p>
      <w:pPr>
        <w:numPr>
          <w:ilvl w:val="0"/>
          <w:numId w:val="1004"/>
        </w:numPr>
        <w:pStyle w:val="Compact"/>
      </w:pPr>
      <w:r>
        <w:rPr>
          <w:bCs/>
          <w:b/>
        </w:rPr>
        <w:t xml:space="preserve">Ophthalmologists:</w:t>
      </w:r>
      <w:r>
        <w:t xml:space="preserve">Spear specialists with subspecialty training in retina, cornea, or glaucoma.</w:t>
      </w:r>
    </w:p>
    <w:p>
      <w:pPr>
        <w:numPr>
          <w:ilvl w:val="0"/>
          <w:numId w:val="1004"/>
        </w:numPr>
        <w:pStyle w:val="Compact"/>
      </w:pPr>
      <w:r>
        <w:rPr>
          <w:bCs/>
          <w:b/>
        </w:rPr>
        <w:t xml:space="preserve">Clinical Optometrists:</w:t>
      </w:r>
      <w:r>
        <w:t xml:space="preserve">: Crucial for initial screenings and post-operative care, working closely with the ophthalmologist.</w:t>
      </w:r>
    </w:p>
    <w:p>
      <w:pPr>
        <w:numPr>
          <w:ilvl w:val="0"/>
          <w:numId w:val="1004"/>
        </w:numPr>
        <w:pStyle w:val="Compact"/>
      </w:pPr>
      <w:r>
        <w:t xml:space="preserve">Ophthalmic Nurses:: Trained in surgical assisting and patient education regarding eye drops and post-op care.</w:t>
      </w:r>
    </w:p>
    <w:p>
      <w:pPr>
        <w:numPr>
          <w:ilvl w:val="0"/>
          <w:numId w:val="1004"/>
        </w:numPr>
        <w:pStyle w:val="Compact"/>
      </w:pPr>
      <w:r>
        <w:rPr>
          <w:bCs/>
          <w:b/>
        </w:rPr>
        <w:t xml:space="preserve">Administration Team:</w:t>
      </w:r>
      <w:r>
        <w:t xml:space="preserve">: Experienced in handling Australian private health insurance claims and Medicare rebates to minimize out-of-pocket costs for patients.</w:t>
      </w:r>
    </w:p>
    <w:bookmarkEnd w:id="29"/>
    <w:bookmarkStart w:id="30" w:name="financial-projections-and-sustainability"/>
    <w:p>
      <w:pPr>
        <w:pStyle w:val="Heading2"/>
      </w:pPr>
      <w:r>
        <w:t xml:space="preserve">7. Financial Projections and Sustainability</w:t>
      </w:r>
    </w:p>
    <w:p>
      <w:pPr>
        <w:pStyle w:val="FirstParagraph"/>
      </w:pPr>
      <w:r>
        <w:t xml:space="preserve">The financial model for the ophthalmologist clinic in Australia Sydney is built on a hybrid revenue stream comprising private patient fees, private health insurance rebates, and Medicare benefits. Initial capital expenditure will focus on medical equipment acquisition and leasehold improvements. Break-even analysis suggests profitability within 18 months due to the high demand for elective surgeries such as cataract removal.</w:t>
      </w:r>
    </w:p>
    <w:p>
      <w:pPr>
        <w:pStyle w:val="BodyText"/>
      </w:pPr>
      <w:r>
        <w:t xml:space="preserve">Ongoing sustainability will be achieved through continuous professional development of the ophthalmologist staff, ensuring they remain at the forefront of global eye care trends. Marketing efforts will target local general practitioners (GPs) in Australia Sydney to establish a robust referral network.</w:t>
      </w:r>
    </w:p>
    <w:bookmarkEnd w:id="30"/>
    <w:bookmarkStart w:id="31" w:name="conclusion"/>
    <w:p>
      <w:pPr>
        <w:pStyle w:val="Heading2"/>
      </w:pPr>
      <w:r>
        <w:t xml:space="preserve">8. Conclusion</w:t>
      </w:r>
    </w:p>
    <w:p>
      <w:pPr>
        <w:pStyle w:val="FirstParagraph"/>
      </w:pPr>
      <w:r>
        <w:t xml:space="preserve">The establishment of this specialized ophthalmologist clinic represents a strategic investment in the health infrastructure of Australia Sydney. By addressing the specific demographic and lifestyle-related eye health challenges faced by residents, the project ensures high patient demand and clinical relevance. With rigorous adherence to Australian regulatory standards, advanced technological integration, and a patient-centric approach, this venture is poised to become a leading provider of eye care services in the region.</w:t>
      </w:r>
    </w:p>
    <w:p>
      <w:pPr>
        <w:pStyle w:val="BodyText"/>
      </w:pPr>
      <w:r>
        <w:t xml:space="preserve">The team commits to delivering excellence in every aspect of care, reinforcing the trust placed in ophthalmologist professionals by the community. We anticipate that this facility will not only improve visual outcomes for thousands of individuals but also contribute positively to the healthcare economy of Australia Sydney.</w:t>
      </w:r>
    </w:p>
    <w:p>
      <w:r>
        <w:pict>
          <v:rect style="width:0;height:1.5pt" o:hralign="center" o:hrstd="t" o:hr="t"/>
        </w:pict>
      </w:r>
    </w:p>
    <w:p>
      <w:pPr>
        <w:pStyle w:val="FirstParagraph"/>
      </w:pPr>
      <w:r>
        <w:rPr>
          <w:iCs/>
          <w:i/>
        </w:rPr>
        <w:t xml:space="preserve">End of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an Advanced Ophthalmologist Clinic in Australia Sydney</dc:title>
  <dc:creator/>
  <dc:language>en</dc:language>
  <cp:keywords/>
  <dcterms:created xsi:type="dcterms:W3CDTF">2026-07-29T12:27:19Z</dcterms:created>
  <dcterms:modified xsi:type="dcterms:W3CDTF">2026-07-29T12:27:19Z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