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Colombia</w:t>
      </w:r>
      <w:r>
        <w:t xml:space="preserve"> </w:t>
      </w:r>
      <w:r>
        <w:t xml:space="preserve">Bogotá</w:t>
      </w:r>
    </w:p>
    <w:bookmarkStart w:id="30" w:name="X4d30a6c1d9b829317a308bccf23c6bf8c561b00"/>
    <w:p>
      <w:pPr>
        <w:pStyle w:val="Heading1"/>
      </w:pPr>
      <w:r>
        <w:t xml:space="preserve">Comprehensive Project Report: Establishment and Expansion of Specialized Ophthalmologist Services in Colombia Bogotá</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Planning Committee</w:t>
      </w:r>
      <w:r>
        <w:br/>
      </w:r>
      <w:r>
        <w:rPr>
          <w:bCs/>
          <w:b/>
        </w:rPr>
        <w:t xml:space="preserve">From:</w:t>
      </w:r>
      <w:r>
        <w:t xml:space="preserve"> </w:t>
      </w:r>
      <w:r>
        <w:t xml:space="preserve">Project Management Office</w:t>
      </w:r>
      <w:r>
        <w:br/>
      </w:r>
    </w:p>
    <w:p>
      <w:pPr>
        <w:pStyle w:val="BodyText"/>
      </w:pPr>
      <w:r>
        <w:t xml:space="preserve">Subject:&gt;Strategic Initiative for Ophthalmologist Care Optimization in Colombia Bogotá</w:t>
      </w:r>
    </w:p>
    <w:bookmarkStart w:id="20" w:name="executive-summary"/>
    <w:p>
      <w:pPr>
        <w:pStyle w:val="Heading2"/>
      </w:pPr>
      <w:r>
        <w:t xml:space="preserve">1. Executive Summary</w:t>
      </w:r>
    </w:p>
    <w:p>
      <w:pPr>
        <w:pStyle w:val="FirstParagraph"/>
      </w:pPr>
      <w:r>
        <w:t xml:space="preserve">This Project Report outlines the strategic framework, operational requirements, and anticipated outcomes for the expansion of high-quality ophthalmology services within Colombia Bogotá. As one of the most dynamic metropolitan areas in South America, Colombia Bogotá presents a unique convergence of demographic growth, increasing urbanization rates that lead to higher incidences of lifestyle-related ocular conditions such as glaucoma and macular degeneration.</w:t>
      </w:r>
    </w:p>
    <w:p>
      <w:pPr>
        <w:pStyle w:val="BodyText"/>
      </w:pPr>
      <w:r>
        <w:t xml:space="preserve">The primary objective is to establish a state-of-the-art ophthalmology center capable of serving the diverse population of Colombia Bogotá. This initiative aims not only to address the current gaps in specialized eye care but also to integrate advanced technological solutions, telemedicine capabilities, and preventive health campaigns tailored specifically for the local context. By focusing on sustainability and accessibility, this project seeks to set a new benchmark for healthcare delivery in Colombia Bogotá.</w:t>
      </w:r>
    </w:p>
    <w:bookmarkEnd w:id="20"/>
    <w:bookmarkStart w:id="23" w:name="background-and-contextual-analysis"/>
    <w:p>
      <w:pPr>
        <w:pStyle w:val="Heading2"/>
      </w:pPr>
      <w:r>
        <w:t xml:space="preserve">2. Background and Contextual Analysis</w:t>
      </w:r>
    </w:p>
    <w:bookmarkStart w:id="21" w:name="Xf5904171c8ab9c4fc4f8360e919f799c5bba7ae"/>
    <w:p>
      <w:pPr>
        <w:pStyle w:val="Heading3"/>
      </w:pPr>
      <w:r>
        <w:t xml:space="preserve">2.1 The Healthcare Landscape in Colombia Bogotá</w:t>
      </w:r>
    </w:p>
    <w:p>
      <w:pPr>
        <w:pStyle w:val="FirstParagraph"/>
      </w:pPr>
      <w:r>
        <w:t xml:space="preserve">&gt;Colombia Bogotá serves as the economic and cultural heart of the nation, with a population exceeding eight million inhabitants within its metropolitan area.. The healthcare system in Colombia is known for its high coverage rates, yet there remain significant disparities in access to specialized care. In</w:t>
      </w:r>
      <w:r>
        <w:t xml:space="preserve"> </w:t>
      </w:r>
      <w:r>
        <w:rPr>
          <w:bCs/>
          <w:b/>
        </w:rPr>
        <w:t xml:space="preserve">Colombia Bogotá</w:t>
      </w:r>
      <w:r>
        <w:t xml:space="preserve">, while primary care is widely available, secondary and tertiary ophthalmology services are often concentrated in specific geographic zones or require lengthy waiting times. This report identifies a critical need to decentralize these services and enhance capacity within the city itself.</w:t>
      </w:r>
    </w:p>
    <w:bookmarkEnd w:id="21"/>
    <w:bookmarkStart w:id="22" w:name="epidemiological-needs"/>
    <w:p>
      <w:pPr>
        <w:pStyle w:val="Heading3"/>
      </w:pPr>
      <w:r>
        <w:t xml:space="preserve">2.2 Epidemiological Needs</w:t>
      </w:r>
    </w:p>
    <w:p>
      <w:pPr>
        <w:pStyle w:val="FirstParagraph"/>
      </w:pPr>
      <w:r>
        <w:t xml:space="preserve">Epidemiological data indicates a rising prevalence of refractive errors, diabetic retinopathy, and age-related macular degeneration among residents of</w:t>
      </w:r>
      <w:r>
        <w:t xml:space="preserve"> </w:t>
      </w:r>
      <w:r>
        <w:rPr>
          <w:bCs/>
          <w:b/>
        </w:rPr>
        <w:t xml:space="preserve">Colombia Bogotá</w:t>
      </w:r>
      <w:r>
        <w:t xml:space="preserve">. The sedentary lifestyle associated with rapid urban development in the capital region has contributed to an increase in metabolic syndromes that directly impact ocular health. Furthermore, the aging population in</w:t>
      </w:r>
      <w:r>
        <w:t xml:space="preserve"> </w:t>
      </w:r>
      <w:r>
        <w:rPr>
          <w:bCs/>
          <w:b/>
        </w:rPr>
        <w:t xml:space="preserve">Colombia Bogotá</w:t>
      </w:r>
      <w:r>
        <w:t xml:space="preserve"> </w:t>
      </w:r>
      <w:r>
        <w:t xml:space="preserve">demands more frequent and specialized ophthalmologist interventions for cataracts and glaucoma management.</w:t>
      </w:r>
    </w:p>
    <w:bookmarkEnd w:id="22"/>
    <w:bookmarkEnd w:id="23"/>
    <w:bookmarkStart w:id="24" w:name="project-objectives"/>
    <w:p>
      <w:pPr>
        <w:pStyle w:val="Heading2"/>
      </w:pPr>
      <w:r>
        <w:t xml:space="preserve">3. Project Objectives</w:t>
      </w:r>
    </w:p>
    <w:p>
      <w:pPr>
        <w:numPr>
          <w:ilvl w:val="0"/>
          <w:numId w:val="1001"/>
        </w:numPr>
        <w:pStyle w:val="Compact"/>
      </w:pPr>
      <w:r>
        <w:rPr>
          <w:bCs/>
          <w:b/>
        </w:rPr>
        <w:t xml:space="preserve">Patient Care Excellence:</w:t>
      </w:r>
      <w:r>
        <w:t xml:space="preserve">&gt;To provide comprehensive ophthalmologist services, including diagnostic imaging, surgical interventions (cataract surgery, LASIK), and chronic disease management.</w:t>
      </w:r>
    </w:p>
    <w:p>
      <w:pPr>
        <w:numPr>
          <w:ilvl w:val="0"/>
          <w:numId w:val="1001"/>
        </w:numPr>
        <w:pStyle w:val="Compact"/>
      </w:pPr>
      <w:r>
        <w:rPr>
          <w:bCs/>
          <w:b/>
        </w:rPr>
        <w:t xml:space="preserve">Accessibility in Colombia Bogotá:</w:t>
      </w:r>
      <w:r>
        <w:t xml:space="preserve">&gt;To ensure that high-quality eye care is accessible to residents across all socio-economic strata in</w:t>
      </w:r>
      <w:r>
        <w:t xml:space="preserve"> </w:t>
      </w:r>
      <w:r>
        <w:t xml:space="preserve">&gt;Colombia Bogotá&gt; through a mix of private and subsidized insurance models (EPS).</w:t>
      </w:r>
    </w:p>
    <w:p>
      <w:pPr>
        <w:numPr>
          <w:ilvl w:val="0"/>
          <w:numId w:val="1001"/>
        </w:numPr>
        <w:pStyle w:val="Compact"/>
      </w:pPr>
      <w:r>
        <w:rPr>
          <w:bCs/>
          <w:b/>
        </w:rPr>
        <w:t xml:space="preserve">Technological Integration:</w:t>
      </w:r>
      <w:r>
        <w:t xml:space="preserve">&gt;To implement cutting-edge diagnostic tools and digital health records that enhance patient outcomes.</w:t>
      </w:r>
    </w:p>
    <w:p>
      <w:pPr>
        <w:numPr>
          <w:ilvl w:val="0"/>
          <w:numId w:val="1001"/>
        </w:numPr>
        <w:pStyle w:val="Compact"/>
      </w:pPr>
      <w:r>
        <w:rPr>
          <w:bCs/>
          <w:b/>
        </w:rPr>
        <w:t xml:space="preserve">Educational Outreach:</w:t>
      </w:r>
      <w:r>
        <w:t xml:space="preserve">&gt;To conduct community education programs in various districts of</w:t>
      </w:r>
      <w:r>
        <w:t xml:space="preserve"> </w:t>
      </w:r>
      <w:r>
        <w:rPr>
          <w:iCs/>
          <w:i/>
        </w:rPr>
        <w:t xml:space="preserve">&gt;Colombia Bogotá</w:t>
      </w:r>
      <w:r>
        <w:t xml:space="preserve">, focusing on preventive eye care for schools and senior centers.</w:t>
      </w:r>
    </w:p>
    <w:bookmarkEnd w:id="24"/>
    <w:bookmarkStart w:id="28" w:name="operational-strategy"/>
    <w:p>
      <w:pPr>
        <w:pStyle w:val="Heading2"/>
      </w:pPr>
      <w:r>
        <w:t xml:space="preserve">4. Operational Strategy</w:t>
      </w:r>
    </w:p>
    <w:p>
      <w:pPr>
        <w:pStyle w:val="FirstParagraph"/>
      </w:pPr>
      <w:r>
        <w:t xml:space="preserve">The operational model for this project is designed to address the unique logistical and cultural nuances of serving patients in</w:t>
      </w:r>
    </w:p>
    <w:p>
      <w:pPr>
        <w:pStyle w:val="BodyText"/>
      </w:pPr>
      <w:r>
        <w:t xml:space="preserve">&gt;Colombia Bogotá.</w:t>
      </w:r>
    </w:p>
    <w:bookmarkStart w:id="25" w:name="facility-location-and-infrastructure"/>
    <w:p>
      <w:pPr>
        <w:pStyle w:val="Heading3"/>
      </w:pPr>
      <w:r>
        <w:t xml:space="preserve">4.1 Facility Location and Infrastructure</w:t>
      </w:r>
    </w:p>
    <w:p>
      <w:pPr>
        <w:pStyle w:val="FirstParagraph"/>
      </w:pPr>
      <w:r>
        <w:t xml:space="preserve">The chosen location for the primary ophthalmologist center will be strategically positioned within a high-traffic district of Colombia Bogotá, ensuring proximity to major public transportation hubs such as the TransMilenio network. The facility will be equipped with five operating rooms, ten examination chairs, and a dedicated optical shop. Infrastructure design prioritizes energy efficiency and accessibility for disabled patients.</w:t>
      </w:r>
    </w:p>
    <w:bookmarkEnd w:id="25"/>
    <w:bookmarkStart w:id="26" w:name="staffing-and-expertise"/>
    <w:p>
      <w:pPr>
        <w:pStyle w:val="Heading3"/>
      </w:pPr>
      <w:r>
        <w:t xml:space="preserve">4.2 Staffing and Expertise</w:t>
      </w:r>
    </w:p>
    <w:p>
      <w:pPr>
        <w:pStyle w:val="FirstParagraph"/>
      </w:pPr>
      <w:r>
        <w:t xml:space="preserve">A multidisciplinary team of ophthalmologist specialists will be recruited. This includes surgeons specializing in retina, cornea, and pediatric ophthalmology. Additionally, the project emphasizes continuous training for local staff to ensure that the standard of care meets international benchmarks while remaining attuned to the specific health profiles of patients in Colombia Bogotá.</w:t>
      </w:r>
    </w:p>
    <w:bookmarkEnd w:id="26"/>
    <w:bookmarkStart w:id="27" w:name="technology-stack"/>
    <w:p>
      <w:pPr>
        <w:pStyle w:val="Heading3"/>
      </w:pPr>
      <w:r>
        <w:t xml:space="preserve">4.3 Technology Stack</w:t>
      </w:r>
    </w:p>
    <w:p>
      <w:pPr>
        <w:pStyle w:val="FirstParagraph"/>
      </w:pPr>
      <w:r>
        <w:t xml:space="preserve">The integration of optical coherence tomography (OCT), fundus cameras, and automated perimetry is crucial. Furthermore, a robust telemedicine platform will be established to allow for follow-up consultations for patients in rural areas surrounding Colombia Bogotá, reducing the burden on physical facilities.</w:t>
      </w:r>
    </w:p>
    <w:bookmarkEnd w:id="27"/>
    <w:bookmarkEnd w:id="28"/>
    <w:bookmarkStart w:id="29" w:name="financial-plan-and-sustainability"/>
    <w:p>
      <w:pPr>
        <w:pStyle w:val="Heading2"/>
      </w:pPr>
      <w:r>
        <w:t xml:space="preserve">5. Financial Plan and Sustainability</w:t>
      </w:r>
    </w:p>
    <w:p>
      <w:pPr>
        <w:pStyle w:val="FirstParagraph"/>
      </w:pPr>
      <w:r>
        <w:t xml:space="preserve">The financial model relies on a diversified revenue stream. This includes direct payments from private insurance providers (Mutualistas, Sanitas, Sura), contributions from the public health system (EPS) for registered patients in Colombia Bogotá, and out-of-pocket payments for cosmetic procedures like LASIK.</w:t>
      </w:r>
    </w:p>
    <w:p>
      <w:pPr>
        <w:pStyle w:val="BodyText"/>
      </w:pPr>
      <w:r>
        <w:rPr>
          <w:bCs/>
          <w:b/>
        </w:rPr>
        <w:t xml:space="preserve">Cost Structure:</w:t>
      </w:r>
    </w:p>
    <w:p>
      <w:pPr>
        <w:pStyle w:val="BodyText"/>
      </w:pPr>
      <w:r>
        <w:t xml:space="preserve">Category</w:t>
      </w:r>
    </w:p>
    <w:bookmarkEnd w:id="29"/>
    <w:bookmarkEnd w:id="30"/>
    <w:p>
      <w:pPr>
        <w:pStyle w:val="BodyText"/>
      </w:pPr>
      <w:r>
        <w:t xml:space="preserve">Description</w:t>
      </w:r>
    </w:p>
    <w:p>
      <w:pPr>
        <w:pStyle w:val="BodyText"/>
      </w:pPr>
      <w:r>
        <w:t xml:space="preserve">`html`</w:t>
      </w:r>
    </w:p>
    <w:p>
      <w:pPr>
        <w:pStyle w:val="BodyText"/>
      </w:pPr>
      <w:r>
        <w:t xml:space="preserve">`html`</w:t>
      </w:r>
    </w:p>
    <w:p>
      <w:pPr>
        <w:pStyle w:val="BodyText"/>
      </w:pPr>
      <w:r>
        <w:t xml:space="preserve">Facility Lease and Maintenance</w:t>
      </w:r>
    </w:p>
    <w:p>
      <w:pPr>
        <w:pStyle w:val="BodyText"/>
      </w:pPr>
      <w:r>
        <w:t xml:space="preserve">High-standard medical facility in Colombia Bogotá.</w:t>
      </w:r>
    </w:p>
    <w:p>
      <w:pPr>
        <w:pStyle w:val="BodyText"/>
      </w:pPr>
      <w:r>
        <w:t xml:space="preserve">`html`</w:t>
      </w:r>
    </w:p>
    <w:p>
      <w:pPr>
        <w:pStyle w:val="BodyText"/>
      </w:pPr>
      <w:r>
        <w:t xml:space="preserve">&lt;</w:t>
      </w:r>
    </w:p>
    <w:p>
      <w:pPr>
        <w:pStyle w:val="BodyText"/>
      </w:pPr>
      <w:r>
        <w:t xml:space="preserve">Equipment Acquisition</w:t>
      </w:r>
    </w:p>
    <w:p>
      <w:pPr>
        <w:pStyle w:val="BodyText"/>
      </w:pPr>
      <w:r>
        <w:t xml:space="preserve">Purchase of advanced ophthalmologist diagnostic tools.&gt;</w:t>
      </w:r>
    </w:p>
    <w:p>
      <w:pPr>
        <w:pStyle w:val="BodyText"/>
      </w:pPr>
      <w:r>
        <w:t xml:space="preserve">`html`</w:t>
      </w:r>
    </w:p>
    <w:p>
      <w:pPr>
        <w:pStyle w:val="BodyText"/>
      </w:pPr>
      <w:r>
        <w:t xml:space="preserve">`html</w:t>
      </w:r>
    </w:p>
    <w:p>
      <w:pPr>
        <w:pStyle w:val="BodyText"/>
      </w:pPr>
      <w:r>
        <w:t xml:space="preserve">Operational Costs</w:t>
      </w:r>
    </w:p>
    <w:p>
      <w:pPr>
        <w:pStyle w:val="BodyText"/>
      </w:pPr>
      <w:r>
        <w:t xml:space="preserve">Staff salaries, pharmaceuticals, and utilities in Colombia Bogotá.&gt;</w:t>
      </w:r>
    </w:p>
    <w:p>
      <w:pPr>
        <w:pStyle w:val="BodyText"/>
      </w:pPr>
      <w:r>
        <w:t xml:space="preserve">Marketing and Outreach</w:t>
      </w:r>
    </w:p>
    <w:p>
      <w:pPr>
        <w:pStyle w:val="BodyText"/>
      </w:pPr>
      <w:r>
        <w:t xml:space="preserve">Awareness campaigns across Colombia Bogotá.&gt;</w:t>
      </w:r>
    </w:p>
    <w:p>
      <w:pPr>
        <w:pStyle w:val="BodyText"/>
      </w:pPr>
      <w:r>
        <w:t xml:space="preserve">`html`</w:t>
      </w:r>
    </w:p>
    <w:p>
      <w:pPr>
        <w:pStyle w:val="BodyText"/>
      </w:pPr>
      <w:r>
        <w:t xml:space="preserve">`html</w:t>
      </w:r>
    </w:p>
    <w:p>
      <w:pPr>
        <w:pStyle w:val="BodyText"/>
      </w:pPr>
      <w:r>
        <w:t xml:space="preserve">Total Initial Investment</w:t>
      </w:r>
    </w:p>
    <w:p>
      <w:pPr>
        <w:pStyle w:val="BodyText"/>
      </w:pPr>
      <w:r>
        <w:t xml:space="preserve">To be detailed in Appendix A.&gt;`html```</w:t>
      </w:r>
    </w:p>
    <w:p>
      <w:pPr>
        <w:pStyle w:val="BodyText"/>
      </w:pPr>
      <w:r>
        <w:t xml:space="preserve">Sustainability is achieved by focusing on high-volume, low-cost preventive care alongside high-margin surgical procedures. This balanced approach ensures financial viability while serving the public interest in Colombia Bogotá.</w:t>
      </w:r>
    </w:p>
    <w:bookmarkStart w:id="31" w:name="risk-management"/>
    <w:p>
      <w:pPr>
        <w:pStyle w:val="Heading2"/>
      </w:pPr>
      <w:r>
        <w:t xml:space="preserve">6. Risk Management</w:t>
      </w:r>
    </w:p>
    <w:p>
      <w:pPr>
        <w:pStyle w:val="FirstParagraph"/>
      </w:pPr>
      <w:r>
        <w:rPr>
          <w:bCs/>
          <w:b/>
        </w:rPr>
        <w:t xml:space="preserve">&gt;Regulatory Compliance:</w:t>
      </w:r>
      <w:r>
        <w:t xml:space="preserve">&gt;Navigating the regulatory framework of the Ministry of Health and Social Protection in Colombia is complex. A dedicated legal team will ensure all ophthalmologist practices comply with local laws..</w:t>
      </w:r>
      <w:r>
        <w:br/>
      </w:r>
      <w:r>
        <w:rPr>
          <w:bCs/>
          <w:b/>
        </w:rPr>
        <w:t xml:space="preserve">Supply Chain Issues:</w:t>
      </w:r>
      <w:r>
        <w:t xml:space="preserve">&gt;Reliance on imported medical devices poses a risk. The project includes establishing relationships with multiple suppliers to mitigate delays.</w:t>
      </w:r>
      <w:r>
        <w:br/>
      </w:r>
      <w:r>
        <w:rPr>
          <w:bCs/>
          <w:b/>
        </w:rPr>
        <w:t xml:space="preserve">Economic Volatility:</w:t>
      </w:r>
      <w:r>
        <w:t xml:space="preserve">&gt;Fluctuations in the Colombian peso can impact import costs. Hedging strategies and local sourcing of non-specialized materials will be employed.</w:t>
      </w:r>
    </w:p>
    <w:bookmarkEnd w:id="31"/>
    <w:bookmarkStart w:id="32" w:name="implementation-timeline"/>
    <w:p>
      <w:pPr>
        <w:pStyle w:val="Heading2"/>
      </w:pPr>
      <w:r>
        <w:t xml:space="preserve">7. Implementation Timeline</w:t>
      </w:r>
    </w:p>
    <w:p>
      <w:pPr>
        <w:pStyle w:val="FirstParagraph"/>
      </w:pPr>
      <w:r>
        <w:t xml:space="preserve">`html`</w:t>
      </w:r>
    </w:p>
    <w:p>
      <w:pPr>
        <w:pStyle w:val="BodyText"/>
      </w:pPr>
      <w:r>
        <w:t xml:space="preserve">`html</w:t>
      </w:r>
    </w:p>
    <w:p>
      <w:pPr>
        <w:pStyle w:val="BodyText"/>
      </w:pPr>
      <w:r>
        <w:rPr>
          <w:bCs/>
          <w:b/>
        </w:rPr>
        <w:t xml:space="preserve">Phase 1 (Months 1-3):</w:t>
      </w:r>
      <w:r>
        <w:t xml:space="preserve">&gt;Feasibility studies, site selection in Colombia Bogotá, and regulatory approvals..</w:t>
      </w:r>
      <w:r>
        <w:br/>
      </w:r>
    </w:p>
    <w:p>
      <w:pPr>
        <w:pStyle w:val="BodyText"/>
      </w:pPr>
      <w:r>
        <w:rPr>
          <w:bCs/>
          <w:b/>
        </w:rPr>
        <w:t xml:space="preserve">Phase 2 (Months 4-9):</w:t>
      </w:r>
      <w:r>
        <w:t xml:space="preserve">&gt;Construction and renovation of the facility, procurement of ophthalmologist equipment.</w:t>
      </w:r>
      <w:r>
        <w:br/>
      </w:r>
    </w:p>
    <w:p>
      <w:pPr>
        <w:pStyle w:val="BodyText"/>
      </w:pPr>
      <w:r>
        <w:rPr>
          <w:bCs/>
          <w:b/>
        </w:rPr>
        <w:t xml:space="preserve">Phase 3 (Months 10-12):&gt;Staff recruitment, training, and soft launch in Colombia Bogotá..</w:t>
      </w:r>
      <w:r>
        <w:br/>
      </w:r>
    </w:p>
    <w:p>
      <w:pPr>
        <w:pStyle w:val="BodyText"/>
      </w:pPr>
      <w:r>
        <w:rPr>
          <w:bCs/>
          <w:b/>
        </w:rPr>
        <w:t xml:space="preserve">Phase 4 (Month 13+):</w:t>
      </w:r>
      <w:r>
        <w:t xml:space="preserve">&gt;Full operational capacity and community outreach programs..</w:t>
      </w:r>
      <w:r>
        <w:br/>
      </w:r>
      <w:r>
        <w:t xml:space="preserve">`html`ul&gt;`html</w:t>
      </w:r>
    </w:p>
    <w:bookmarkEnd w:id="32"/>
    <w:bookmarkStart w:id="33" w:name="conclusion"/>
    <w:p>
      <w:pPr>
        <w:pStyle w:val="Heading2"/>
      </w:pPr>
      <w:r>
        <w:t xml:space="preserve">8. Conclusion</w:t>
      </w:r>
    </w:p>
    <w:p>
      <w:pPr>
        <w:pStyle w:val="FirstParagraph"/>
      </w:pPr>
      <w:r>
        <w:t xml:space="preserve">`html</w:t>
      </w:r>
    </w:p>
    <w:p>
      <w:pPr>
        <w:pStyle w:val="BodyText"/>
      </w:pPr>
      <w:r>
        <w:t xml:space="preserve">This Project Report demonstrates that establishing a premier ophthalmologist service in Colombia Bogotá is not only financially viable but socially imperative. The growing demographic and the increasing prevalence of eye diseases necessitate immediate action to enhance healthcare infrastructure in the capital.</w:t>
      </w:r>
      <w:r>
        <w:br/>
      </w:r>
      <w:r>
        <w:t xml:space="preserve">By leveraging advanced technology, ensuring regulatory compliance, and maintaining a patient-centric approach tailored to the residents of Colombia Bogotá, this project will significantly improve visual health outcomes across the region. We recommend immediate approval to proceed with Phase 1 activities.</w:t>
      </w:r>
    </w:p>
    <w:bookmarkEnd w:id="33"/>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Colombia Bogotá</dc:title>
  <dc:creator/>
  <dc:language>en</dc:language>
  <cp:keywords/>
  <dcterms:created xsi:type="dcterms:W3CDTF">2026-07-29T14:08:07Z</dcterms:created>
  <dcterms:modified xsi:type="dcterms:W3CDTF">2026-07-29T14:08:07Z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