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2d15008f289f0eac27274362a199a23910449ea"/>
    <w:p>
      <w:pPr>
        <w:pStyle w:val="Heading1"/>
      </w:pPr>
      <w:r>
        <w:t xml:space="preserve">Ophthalmologist Project Report: Strategic Implementation in Malaysia Kuala Lumpur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and Stakeholders</w:t>
      </w:r>
      <w:r>
        <w:br/>
      </w:r>
    </w:p>
    <w:p>
      <w:pPr>
        <w:pStyle w:val="BodyText"/>
      </w:pPr>
      <w:r>
        <w:t xml:space="preserve">From:</w:t>
      </w:r>
      <w:r>
        <w:rPr>
          <w:iCs/>
          <w:i/>
        </w:rPr>
        <w:t xml:space="preserve">This comprehensive Project Report outlines the feasibility, strategic planning, and operational requirements for establishing a specialized Ophthalmologist center within the dynamic healthcare landscape of Malaysia Kuala Lumpur.</w:t>
      </w:r>
    </w:p>
    <w:bookmarkStart w:id="20" w:name="executive-summary"/>
    <w:p>
      <w:pPr>
        <w:pStyle w:val="Heading2"/>
      </w:pPr>
      <w:r>
        <w:t xml:space="preserve">1. Executive Summary</w:t>
      </w:r>
    </w:p>
    <w:p>
      <w:pPr>
        <w:pStyle w:val="FirstParagraph"/>
      </w:pPr>
      <w:r>
        <w:t xml:space="preserve">The objective of this Project Report is to detail the establishment of a state-of-the-art eye care facility staffed by certified Ophthalmologist specialists in Malaysia Kuala Lumpur. As the capital city continues to expand its status as a regional healthcare hub, the demand for specialized medical services has surged. This document analyzes the current market dynamics, regulatory landscape, and operational needs required to successfully deploy an Ophthalmologist practice that meets the high standards expected by both local residents and international medical tourists.</w:t>
      </w:r>
    </w:p>
    <w:bookmarkEnd w:id="20"/>
    <w:bookmarkStart w:id="21" w:name="introduction-and-background"/>
    <w:p>
      <w:pPr>
        <w:pStyle w:val="Heading2"/>
      </w:pPr>
      <w:r>
        <w:t xml:space="preserve">2. Introduction and Background</w:t>
      </w:r>
    </w:p>
    <w:p>
      <w:pPr>
        <w:pStyle w:val="FirstParagraph"/>
      </w:pPr>
      <w:r>
        <w:t xml:space="preserve">The healthcare sector in Malaysia has witnessed robust growth over the past decade, driven by government initiatives to improve public health outcomes and attract international patients. Within this ecosystem, eye care remains a critical component of general well-being. The focus of this Project Report is specifically tailored to the unique demographic and geographic characteristics of Malaysia Kuala Lumpur.</w:t>
      </w:r>
    </w:p>
    <w:p>
      <w:pPr>
        <w:pStyle w:val="BodyText"/>
      </w:pPr>
      <w:r>
        <w:t xml:space="preserve">Kuala Lumpur serves as the economic nerve center of the country, hosting a diverse population comprising locals, expatriates from across Southeast Asia, and global business travelers. Consequently, there is a distinct need for high-quality Ophthalmologist services that can address conditions ranging from refractive errors and cataracts to complex retinal diseases and pediatric ophthalmology. This report serves as the foundational document guiding the logistical, clinical, and financial aspects of this venture.</w:t>
      </w:r>
    </w:p>
    <w:bookmarkEnd w:id="21"/>
    <w:bookmarkStart w:id="24" w:name="market-analysis-in-malaysia-kuala-lumpur"/>
    <w:p>
      <w:pPr>
        <w:pStyle w:val="Heading2"/>
      </w:pPr>
      <w:r>
        <w:t xml:space="preserve">3. Market Analysis in Malaysia Kuala Lumpur</w:t>
      </w:r>
    </w:p>
    <w:bookmarkStart w:id="22" w:name="demographic-trends"/>
    <w:p>
      <w:pPr>
        <w:pStyle w:val="Heading3"/>
      </w:pPr>
      <w:r>
        <w:t xml:space="preserve">3.1 Demographic Trends</w:t>
      </w:r>
    </w:p>
    <w:p>
      <w:pPr>
        <w:pStyle w:val="FirstParagraph"/>
      </w:pPr>
      <w:r>
        <w:t xml:space="preserve">The population of Malaysia Kuala Lumpur is characterized by rapid urbanization and an aging demographic segment. As life expectancy increases, so does the prevalence of age-related ocular conditions such as glaucoma, macular degeneration, and diabetic retinopathy. Furthermore, the high usage of digital devices among the working-age population in Kuala Lumpur has led to a significant rise in computer vision syndrome and myopia.</w:t>
      </w:r>
    </w:p>
    <w:bookmarkEnd w:id="22"/>
    <w:bookmarkStart w:id="23" w:name="competitive-landscape"/>
    <w:p>
      <w:pPr>
        <w:pStyle w:val="Heading3"/>
      </w:pPr>
      <w:r>
        <w:t xml:space="preserve">3.2 Competitive Landscape</w:t>
      </w:r>
    </w:p>
    <w:p>
      <w:pPr>
        <w:pStyle w:val="FirstParagraph"/>
      </w:pPr>
      <w:r>
        <w:t xml:space="preserve">The private healthcare sector in Malaysia Kuala Lumpur is well-developed, with several established hospitals offering eye care services. However, there is a noticeable gap in the market for specialized, boutique Ophthalmologist clinics that offer shorter waiting times and personalized patient care. This Project Report identifies an opportunity to differentiate our facility by combining cutting-edge technology with holistic patient management.</w:t>
      </w:r>
    </w:p>
    <w:bookmarkEnd w:id="23"/>
    <w:bookmarkEnd w:id="24"/>
    <w:bookmarkStart w:id="25" w:name="regulatory-framework-and-compliance"/>
    <w:p>
      <w:pPr>
        <w:pStyle w:val="Heading2"/>
      </w:pPr>
      <w:r>
        <w:t xml:space="preserve">4. Regulatory Framework and Compliance</w:t>
      </w:r>
    </w:p>
    <w:p>
      <w:pPr>
        <w:pStyle w:val="FirstParagraph"/>
      </w:pPr>
      <w:r>
        <w:t xml:space="preserve">Operating a medical facility requires strict adherence to local laws and regulations. For an Ophthalmologist practice in Malaysia Kuala Lumpur, compliance with the Private Healthcare Facilities and Services Act 1998 is mandatory. The Ministry of Health (MOH) Malaysia oversees these regulations, ensuring that all medical personnel are properly registered.</w:t>
      </w:r>
    </w:p>
    <w:p>
      <w:pPr>
        <w:numPr>
          <w:ilvl w:val="0"/>
          <w:numId w:val="1001"/>
        </w:numPr>
        <w:pStyle w:val="Compact"/>
      </w:pPr>
      <w:r>
        <w:rPr>
          <w:bCs/>
          <w:b/>
        </w:rPr>
        <w:t xml:space="preserve">Licensing:</w:t>
      </w:r>
      <w:r>
        <w:t xml:space="preserve"> </w:t>
      </w:r>
      <w:r>
        <w:t xml:space="preserve">All Ophthalmologist specialists must be registered with the Malaysian Medical Council (MMC).</w:t>
      </w:r>
    </w:p>
    <w:p>
      <w:pPr>
        <w:numPr>
          <w:ilvl w:val="0"/>
          <w:numId w:val="1001"/>
        </w:numPr>
        <w:pStyle w:val="Compact"/>
      </w:pPr>
      <w:r>
        <w:rPr>
          <w:bCs/>
          <w:b/>
        </w:rPr>
        <w:t xml:space="preserve">Facility Standards:</w:t>
      </w:r>
      <w:r>
        <w:t xml:space="preserve">The physical infrastructure must meet the standards set by the MOH for specialized surgical centers.</w:t>
      </w:r>
    </w:p>
    <w:p>
      <w:pPr>
        <w:numPr>
          <w:ilvl w:val="0"/>
          <w:numId w:val="1001"/>
        </w:numPr>
        <w:pStyle w:val="Compact"/>
      </w:pPr>
      <w:r>
        <w:rPr>
          <w:bCs/>
          <w:b/>
        </w:rPr>
        <w:t xml:space="preserve">MEDAC Approval:</w:t>
      </w:r>
      <w:r>
        <w:t xml:space="preserve">If medical tourism is a target, accreditation from the Malaysian Healthcare Travel Council (MHTC) is highly recommended to gain credibility among international patients visiting Malaysia Kuala Lumpur.</w:t>
      </w:r>
    </w:p>
    <w:bookmarkEnd w:id="25"/>
    <w:bookmarkStart w:id="28" w:name="operational-strategy"/>
    <w:p>
      <w:pPr>
        <w:pStyle w:val="Heading2"/>
      </w:pPr>
      <w:r>
        <w:t xml:space="preserve">5. Operational Strategy</w:t>
      </w:r>
    </w:p>
    <w:bookmarkStart w:id="26" w:name="X3a39df7667e07cdfbd36bf56f9820eef3a7bb32"/>
    <w:p>
      <w:pPr>
        <w:pStyle w:val="Heading3"/>
      </w:pPr>
      <w:r>
        <w:t xml:space="preserve">5.1 Location Selection in Malaysia Kuala Lumpur</w:t>
      </w:r>
    </w:p>
    <w:p>
      <w:pPr>
        <w:pStyle w:val="FirstParagraph"/>
      </w:pPr>
      <w:r>
        <w:t xml:space="preserve">Selecting the right location within Malaysia Kuala Lumpur is pivotal to the success of this project. The site must be easily accessible via major highways such as the Federal Highway and LDP (Damansara-Puchong Expressway), which are critical for reducing traffic-related stress for patients. Proximity to public transportation hubs, including MRT and LRT stations, will further enhance accessibility for residents from surrounding districts.</w:t>
      </w:r>
    </w:p>
    <w:bookmarkEnd w:id="26"/>
    <w:bookmarkStart w:id="27" w:name="technological-infrastructure"/>
    <w:p>
      <w:pPr>
        <w:pStyle w:val="Heading3"/>
      </w:pPr>
      <w:r>
        <w:t xml:space="preserve">5.2 Technological Infrastructure</w:t>
      </w:r>
    </w:p>
    <w:p>
      <w:pPr>
        <w:pStyle w:val="FirstParagraph"/>
      </w:pPr>
      <w:r>
        <w:t xml:space="preserve">To provide world-class Ophthalmologist services, the facility must be equipped with advanced diagnostic and surgical tools. Key technologies include:</w:t>
      </w:r>
    </w:p>
    <w:p>
      <w:pPr>
        <w:numPr>
          <w:ilvl w:val="0"/>
          <w:numId w:val="1002"/>
        </w:numPr>
        <w:pStyle w:val="Compact"/>
      </w:pPr>
      <w:r>
        <w:rPr>
          <w:bCs/>
          <w:b/>
        </w:rPr>
        <w:t xml:space="preserve">OCT (Optical Coherence Tomography):</w:t>
      </w:r>
      <w:r>
        <w:t xml:space="preserve"> </w:t>
      </w:r>
      <w:r>
        <w:t xml:space="preserve">For detailed retinal imaging.</w:t>
      </w:r>
    </w:p>
    <w:p>
      <w:pPr>
        <w:numPr>
          <w:ilvl w:val="0"/>
          <w:numId w:val="1002"/>
        </w:numPr>
        <w:pStyle w:val="Compact"/>
      </w:pPr>
      <w:r>
        <w:rPr>
          <w:bCs/>
          <w:b/>
        </w:rPr>
        <w:t xml:space="preserve">Femtosecond Laser Systems:</w:t>
      </w:r>
      <w:r>
        <w:t xml:space="preserve"> </w:t>
      </w:r>
      <w:r>
        <w:t xml:space="preserve">To enhance precision in LASIK and cataract surgeries.</w:t>
      </w:r>
    </w:p>
    <w:p>
      <w:pPr>
        <w:numPr>
          <w:ilvl w:val="0"/>
          <w:numId w:val="1002"/>
        </w:numPr>
        <w:pStyle w:val="Compact"/>
      </w:pPr>
      <w:r>
        <w:rPr>
          <w:bCs/>
          <w:b/>
        </w:rPr>
        <w:t xml:space="preserve">Digital Patient Records:</w:t>
      </w:r>
      <w:r>
        <w:t xml:space="preserve">To ensure seamless data management and privacy compliance with Malaysian data protection laws.</w:t>
      </w:r>
    </w:p>
    <w:bookmarkEnd w:id="27"/>
    <w:bookmarkEnd w:id="28"/>
    <w:bookmarkStart w:id="29" w:name="human-resources"/>
    <w:p>
      <w:pPr>
        <w:pStyle w:val="Heading2"/>
      </w:pPr>
      <w:r>
        <w:t xml:space="preserve">6. Human Resources</w:t>
      </w:r>
    </w:p>
    <w:p>
      <w:pPr>
        <w:pStyle w:val="FirstParagraph"/>
      </w:pPr>
      <w:r>
        <w:t xml:space="preserve">The core of this Ophthalmologist project relies on a highly skilled multidisciplinary team. In Malaysia Kuala Lumpur, recruitment should focus not only on local talent but also on attracting international experts who can add value through diverse clinical experiences.</w:t>
      </w:r>
    </w:p>
    <w:p>
      <w:pPr>
        <w:numPr>
          <w:ilvl w:val="0"/>
          <w:numId w:val="1003"/>
        </w:numPr>
        <w:pStyle w:val="Compact"/>
      </w:pPr>
      <w:r>
        <w:rPr>
          <w:bCs/>
          <w:b/>
        </w:rPr>
        <w:t xml:space="preserve">Clinical Staff:</w:t>
      </w:r>
      <w:r>
        <w:t xml:space="preserve"> </w:t>
      </w:r>
      <w:r>
        <w:t xml:space="preserve">Senior Ophthalmologist consultants, resident doctors, and optometrists.</w:t>
      </w:r>
    </w:p>
    <w:p>
      <w:pPr>
        <w:numPr>
          <w:ilvl w:val="0"/>
          <w:numId w:val="1003"/>
        </w:numPr>
        <w:pStyle w:val="Compact"/>
      </w:pPr>
      <w:r>
        <w:rPr>
          <w:bCs/>
          <w:b/>
        </w:rPr>
        <w:t xml:space="preserve">Surgical Team:</w:t>
      </w:r>
      <w:r>
        <w:t xml:space="preserve">Fully trained surgical nurses and technicians proficient in microsurgery assistance.</w:t>
      </w:r>
    </w:p>
    <w:p>
      <w:pPr>
        <w:numPr>
          <w:ilvl w:val="0"/>
          <w:numId w:val="1003"/>
        </w:numPr>
        <w:pStyle w:val="Compact"/>
      </w:pPr>
      <w:r>
        <w:rPr>
          <w:bCs/>
          <w:b/>
        </w:rPr>
        <w:t xml:space="preserve">Patient Care Services:</w:t>
      </w:r>
      <w:r>
        <w:t xml:space="preserve">Multilingual receptionists and patient coordinators are essential to cater to the international community present in Malaysia Kuala Lumpur, ensuring effective communication for patients from various linguistic backgrounds.</w:t>
      </w:r>
    </w:p>
    <w:bookmarkEnd w:id="29"/>
    <w:bookmarkStart w:id="30" w:name="financial-projections"/>
    <w:p>
      <w:pPr>
        <w:pStyle w:val="Heading2"/>
      </w:pPr>
      <w:r>
        <w:t xml:space="preserve">7. Financial Projections</w:t>
      </w:r>
    </w:p>
    <w:p>
      <w:pPr>
        <w:pStyle w:val="FirstParagraph"/>
      </w:pPr>
      <w:r>
        <w:t xml:space="preserve">The financial viability of this project is supported by the growing middle-income population in Malaysia and the increasing expenditure on health insurance. Revenue streams will include consultation fees, diagnostic testing, surgical procedures (such as LASIK and cataract removal), and sales of optical products.</w:t>
      </w:r>
    </w:p>
    <w:p>
      <w:pPr>
        <w:pStyle w:val="BodyText"/>
      </w:pPr>
      <w:r>
        <w:t xml:space="preserve">This Project Report estimates a break-even period of twenty-four months post-launch. The initial capital expenditure will be significant due to the acquisition of high-end medical equipment and fit-out costs for the Malaysia Kuala Lumpur location. However, long-term projections indicate strong profitability driven by repeat business from chronic condition management and recurring revenue from optical sales.</w:t>
      </w:r>
    </w:p>
    <w:bookmarkEnd w:id="30"/>
    <w:bookmarkStart w:id="31" w:name="risk-management"/>
    <w:p>
      <w:pPr>
        <w:pStyle w:val="Heading2"/>
      </w:pPr>
      <w:r>
        <w:t xml:space="preserve">8. Risk Management</w:t>
      </w:r>
    </w:p>
    <w:p>
      <w:pPr>
        <w:pStyle w:val="FirstParagraph"/>
      </w:pPr>
      <w:r>
        <w:rPr>
          <w:bCs/>
          <w:b/>
        </w:rPr>
        <w:t xml:space="preserve">Clinical Risks:</w:t>
      </w:r>
      <w:r>
        <w:t xml:space="preserve">Rigorous protocols must be established to minimize surgical complications. Regular training and peer reviews are essential.</w:t>
      </w:r>
    </w:p>
    <w:p>
      <w:pPr>
        <w:pStyle w:val="BodyText"/>
      </w:pPr>
      <w:r>
        <w:rPr>
          <w:bCs/>
          <w:b/>
        </w:rPr>
        <w:t xml:space="preserve">Economic Risks:</w:t>
      </w:r>
      <w:r>
        <w:t xml:space="preserve">Fluctuations in the Malaysian Ringgit (MYR) may impact the cost of imported medical devices from Malaysia Kuala Lumpur suppliers. Hedging strategies should be employed.</w:t>
      </w:r>
    </w:p>
    <w:p>
      <w:pPr>
        <w:pStyle w:val="BodyText"/>
      </w:pPr>
      <w:r>
        <w:rPr>
          <w:bCs/>
          <w:b/>
        </w:rPr>
        <w:t xml:space="preserve">Reputational Risks:</w:t>
      </w:r>
      <w:r>
        <w:t xml:space="preserve">In the digital age, patient feedback is immediate. Maintaining high standards of care and customer service is crucial for preserving the reputation of our Ophthalmologist practice.</w:t>
      </w:r>
    </w:p>
    <w:bookmarkEnd w:id="31"/>
    <w:bookmarkStart w:id="32" w:name="conclusion"/>
    <w:p>
      <w:pPr>
        <w:pStyle w:val="Heading2"/>
      </w:pPr>
      <w:r>
        <w:t xml:space="preserve">9. Conclusion</w:t>
      </w:r>
    </w:p>
    <w:p>
      <w:pPr>
        <w:pStyle w:val="FirstParagraph"/>
      </w:pPr>
      <w:r>
        <w:t xml:space="preserve">This Project Report confirms that establishing a specialized Ophthalmologist facility in Malaysia Kuala Lumpur is not only viable but highly necessary. The convergence of an aging population, rising digital eye strain, and the city’s status as a medical tourism destination creates a fertile ground for this initiative.</w:t>
      </w:r>
    </w:p>
    <w:p>
      <w:pPr>
        <w:pStyle w:val="BodyText"/>
      </w:pPr>
      <w:r>
        <w:t xml:space="preserve">By adhering to stringent regulatory standards, leveraging advanced technology, and focusing on patient-centric care within Malaysia Kuala Lumpur’s competitive market, we position ourselves to deliver exceptional value. The successful implementation of this project will contribute significantly to the public health infrastructure of Malaysia while capturing a substantial share of the lucrative healthcare market in Kuala Lumpur.</w:t>
      </w:r>
    </w:p>
    <w:p>
      <w:pPr>
        <w:pStyle w:val="BodyText"/>
      </w:pPr>
      <w:r>
        <w:t xml:space="preserve">We recommend proceeding immediately with site acquisition and preliminary licensing applications to capitalize on current market trends.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Project Report: Strategic Implementation in Malaysia Kuala Lumpur</dc:title>
  <dc:creator/>
  <dc:language>en</dc:language>
  <cp:keywords/>
  <dcterms:created xsi:type="dcterms:W3CDTF">2026-07-29T12:27:33Z</dcterms:created>
  <dcterms:modified xsi:type="dcterms:W3CDTF">2026-07-29T12:27:33Z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