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Ophthalmology</w:t>
      </w:r>
      <w:r>
        <w:t xml:space="preserve"> </w:t>
      </w:r>
      <w:r>
        <w:t xml:space="preserve">Center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16f1bccaed5fa85b66adfb235d8be98db8de0b7"/>
    <w:p>
      <w:pPr>
        <w:pStyle w:val="Heading1"/>
      </w:pPr>
      <w:r>
        <w:t xml:space="preserve">Project Report: Establishment of a Specialized Ophthalmology Center in United Arab Emirates, Abu Dhabi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r>
        <w:br/>
      </w:r>
    </w:p>
    <w:bookmarkStart w:id="20" w:name="executive-summary"/>
    <w:p>
      <w:pPr>
        <w:pStyle w:val="Heading2"/>
      </w:pPr>
      <w:r>
        <w:t xml:space="preserve">1. Executive Summary</w:t>
      </w:r>
    </w:p>
    <w:p>
      <w:pPr>
        <w:pStyle w:val="FirstParagraph"/>
      </w:pPr>
      <w:r>
        <w:t xml:space="preserve">This Project Report outlines the strategic initiative to establish a state-of-the-art specialized eye care facility dedicated to high-quality ophthalmologist services within the jurisdiction of United Arab Emirates Abu Dhabi. As part of the broader vision for healthcare excellence in the region, this project aims to address the growing demand for advanced ocular care among residents and expatriates alike. The proposed center will leverage cutting-edge technology, recruit top-tier ophthalmologist professionals, and align with local regulatory standards to provide comprehensive vision correction, retinal disease management, and pediatric ophthalmology services.</w:t>
      </w:r>
    </w:p>
    <w:bookmarkEnd w:id="20"/>
    <w:bookmarkStart w:id="21" w:name="project-background-and-context"/>
    <w:p>
      <w:pPr>
        <w:pStyle w:val="Heading2"/>
      </w:pPr>
      <w:r>
        <w:t xml:space="preserve">2. Project Background and Context</w:t>
      </w:r>
    </w:p>
    <w:p>
      <w:pPr>
        <w:pStyle w:val="FirstParagraph"/>
      </w:pPr>
      <w:r>
        <w:t xml:space="preserve">The United Arab Emirates has witnessed rapid demographic growth and urbanization over the past two decades. Within this framework, Abu Dhabi has emerged as a cultural, economic, and healthcare hub for the region. The population in United Arab Emirates Abu Dhabi is characterized by a diverse mix of nationals and expatriates, many of whom possess high health literacy and expect premium medical services.</w:t>
      </w:r>
    </w:p>
    <w:p>
      <w:pPr>
        <w:pStyle w:val="BodyText"/>
      </w:pPr>
      <w:r>
        <w:t xml:space="preserve">Diabetes mellitus is prevalent in the Middle East, significantly contributing to a higher incidence of diabetic retinopathy. Additionally, lifestyle factors such as increased screen time have led to a rise in digital eye strain and refractive errors among the younger population. Consequently, there is a critical need for specialized ophthalmologist expertise that can offer both routine care and complex surgical interventions. This project seeks to fill this gap by creating a dedicated center that prioritizes preventive care, early detection, and advanced therapeutic options.</w:t>
      </w:r>
    </w:p>
    <w:bookmarkEnd w:id="21"/>
    <w:bookmarkStart w:id="24" w:name="market-analysis"/>
    <w:p>
      <w:pPr>
        <w:pStyle w:val="Heading2"/>
      </w:pPr>
      <w:r>
        <w:t xml:space="preserve">3. Market Analysis</w:t>
      </w:r>
    </w:p>
    <w:bookmarkStart w:id="22" w:name="demand-drivers"/>
    <w:p>
      <w:pPr>
        <w:pStyle w:val="Heading3"/>
      </w:pPr>
      <w:r>
        <w:t xml:space="preserve">3.1 Demand Drivers</w:t>
      </w:r>
    </w:p>
    <w:p>
      <w:pPr>
        <w:numPr>
          <w:ilvl w:val="0"/>
          <w:numId w:val="1001"/>
        </w:numPr>
        <w:pStyle w:val="Compact"/>
      </w:pPr>
      <w:r>
        <w:rPr>
          <w:bCs/>
          <w:b/>
        </w:rPr>
        <w:t xml:space="preserve">Disease Prevalence:</w:t>
      </w:r>
      <w:r>
        <w:t xml:space="preserve"> </w:t>
      </w:r>
      <w:r>
        <w:t xml:space="preserve">The high rate of diabetes in the United Arab Emirates necessitates regular screening for diabetic retinopathy, requiring frequent visits to an ophthalmologist.</w:t>
      </w:r>
    </w:p>
    <w:p>
      <w:pPr>
        <w:numPr>
          <w:ilvl w:val="0"/>
          <w:numId w:val="1001"/>
        </w:numPr>
        <w:pStyle w:val="Compact"/>
      </w:pPr>
      <w:r>
        <w:rPr>
          <w:bCs/>
          <w:b/>
        </w:rPr>
        <w:t xml:space="preserve">Aging Population:</w:t>
      </w:r>
      <w:r>
        <w:t xml:space="preserve"> </w:t>
      </w:r>
      <w:r>
        <w:t xml:space="preserve">An increasing elderly demographic is driving demand for cataract surgery and glaucoma management.</w:t>
      </w:r>
    </w:p>
    <w:p>
      <w:pPr>
        <w:numPr>
          <w:ilvl w:val="0"/>
          <w:numId w:val="1001"/>
        </w:numPr>
        <w:pStyle w:val="Compact"/>
      </w:pPr>
      <w:r>
        <w:rPr>
          <w:bCs/>
          <w:b/>
        </w:rPr>
        <w:t xml:space="preserve">Lifestyle Factors:</w:t>
      </w:r>
      <w:r>
        <w:t xml:space="preserve"> </w:t>
      </w:r>
      <w:r>
        <w:t xml:space="preserve">The high usage of digital devices in Abu Dhabi contributes to myopia progression and dry eye syndrome, creating a need for consistent ophthalmologist consultations.</w:t>
      </w:r>
    </w:p>
    <w:bookmarkEnd w:id="22"/>
    <w:bookmarkStart w:id="23" w:name="competitive-landscape"/>
    <w:p>
      <w:pPr>
        <w:pStyle w:val="Heading3"/>
      </w:pPr>
      <w:r>
        <w:t xml:space="preserve">3.2 Competitive Landscape</w:t>
      </w:r>
    </w:p>
    <w:p>
      <w:pPr>
        <w:pStyle w:val="FirstParagraph"/>
      </w:pPr>
      <w:r>
        <w:t xml:space="preserve">The healthcare sector in United Arab Emirates Abu Dhabi is well-established, with several major government and private hospitals offering eye care services. However, there is a niche opportunity for a specialized center that offers shorter wait times, personalized patient journeys, and multidisciplinary approaches under one roof. By focusing specifically on ophthalmologist-led care rather than general optometry or broad medical practice, the proposed center can differentiate itself through depth of expertise and technological specialization.</w:t>
      </w:r>
    </w:p>
    <w:bookmarkEnd w:id="23"/>
    <w:bookmarkEnd w:id="24"/>
    <w:bookmarkStart w:id="25" w:name="project-objectives"/>
    <w:p>
      <w:pPr>
        <w:pStyle w:val="Heading2"/>
      </w:pPr>
      <w:r>
        <w:t xml:space="preserve">4. Project Objectives</w:t>
      </w:r>
    </w:p>
    <w:p>
      <w:pPr>
        <w:numPr>
          <w:ilvl w:val="0"/>
          <w:numId w:val="1002"/>
        </w:numPr>
        <w:pStyle w:val="Compact"/>
      </w:pPr>
      <w:r>
        <w:rPr>
          <w:bCs/>
          <w:b/>
        </w:rPr>
        <w:t xml:space="preserve">Clinical Excellence:</w:t>
      </w:r>
      <w:r>
        <w:t xml:space="preserve"> </w:t>
      </w:r>
      <w:r>
        <w:t xml:space="preserve">To establish a facility recognized for superior outcomes in refractive surgery, retinal care, and pediatric ophthalmology by employing board-certified ophthalmologist specialists.</w:t>
      </w:r>
    </w:p>
    <w:p>
      <w:pPr>
        <w:numPr>
          <w:ilvl w:val="0"/>
          <w:numId w:val="1002"/>
        </w:numPr>
        <w:pStyle w:val="Compact"/>
      </w:pPr>
      <w:r>
        <w:rPr>
          <w:bCs/>
          <w:b/>
        </w:rPr>
        <w:t xml:space="preserve">Patient-Centric Care:</w:t>
      </w:r>
      <w:r>
        <w:t xml:space="preserve"> </w:t>
      </w:r>
      <w:r>
        <w:t xml:space="preserve">To deliver seamless patient experiences in United Arab Emirates Abu Dhabi through digital integration, multilingual staff support, and convenient appointment scheduling.</w:t>
      </w:r>
    </w:p>
    <w:p>
      <w:pPr>
        <w:numPr>
          <w:ilvl w:val="0"/>
          <w:numId w:val="1002"/>
        </w:numPr>
        <w:pStyle w:val="Compact"/>
      </w:pPr>
      <w:r>
        <w:rPr>
          <w:bCs/>
          <w:b/>
        </w:rPr>
        <w:t xml:space="preserve">Regulatory Compliance:</w:t>
      </w:r>
      <w:r>
        <w:t xml:space="preserve"> </w:t>
      </w:r>
      <w:r>
        <w:t xml:space="preserve">To ensure full adherence to the regulations set by the Department of Health (DoH) Abu Dhabi, ensuring all ophthalmologist practitioners are licensed and facilities meet international safety standards.</w:t>
      </w:r>
    </w:p>
    <w:p>
      <w:pPr>
        <w:numPr>
          <w:ilvl w:val="0"/>
          <w:numId w:val="1002"/>
        </w:numPr>
        <w:pStyle w:val="Compact"/>
      </w:pPr>
      <w:r>
        <w:rPr>
          <w:bCs/>
          <w:b/>
        </w:rPr>
        <w:t xml:space="preserve">Sustainability:</w:t>
      </w:r>
      <w:r>
        <w:t xml:space="preserve">To implement eco-friendly practices in facility management while maintaining high operational efficiency.</w:t>
      </w:r>
    </w:p>
    <w:bookmarkEnd w:id="25"/>
    <w:bookmarkStart w:id="28" w:name="operational-strategy"/>
    <w:p>
      <w:pPr>
        <w:pStyle w:val="Heading2"/>
      </w:pPr>
      <w:r>
        <w:t xml:space="preserve">5. Operational Strategy</w:t>
      </w:r>
    </w:p>
    <w:bookmarkStart w:id="26" w:name="facility-design-and-technology"/>
    <w:p>
      <w:pPr>
        <w:pStyle w:val="Heading3"/>
      </w:pPr>
      <w:r>
        <w:t xml:space="preserve">5.1 Facility Design and Technology</w:t>
      </w:r>
    </w:p>
    <w:p>
      <w:pPr>
        <w:pStyle w:val="FirstParagraph"/>
      </w:pPr>
      <w:r>
        <w:t xml:space="preserve">The center will be located in a prime area within United Arab Emirates Abu Dhabi, accessible to both residents of the capital city and visitors from other emirates. The facility will include:</w:t>
      </w:r>
    </w:p>
    <w:p>
      <w:pPr>
        <w:numPr>
          <w:ilvl w:val="0"/>
          <w:numId w:val="1003"/>
        </w:numPr>
        <w:pStyle w:val="Compact"/>
      </w:pPr>
      <w:r>
        <w:rPr>
          <w:bCs/>
          <w:b/>
        </w:rPr>
        <w:t xml:space="preserve">Diagnostics Suite:</w:t>
      </w:r>
      <w:r>
        <w:t xml:space="preserve"> </w:t>
      </w:r>
      <w:r>
        <w:t xml:space="preserve">Equipped with Optical Coherence Tomography (OCT), fundus cameras, and visual field analyzers.</w:t>
      </w:r>
    </w:p>
    <w:p>
      <w:pPr>
        <w:numPr>
          <w:ilvl w:val="0"/>
          <w:numId w:val="1003"/>
        </w:numPr>
        <w:pStyle w:val="Compact"/>
      </w:pPr>
      <w:r>
        <w:rPr>
          <w:bCs/>
          <w:b/>
        </w:rPr>
        <w:t xml:space="preserve">Surgical Suites:</w:t>
      </w:r>
      <w:r>
        <w:t xml:space="preserve"> </w:t>
      </w:r>
      <w:r>
        <w:t xml:space="preserve">Two laser-safe operating rooms equipped for phacoemulsification, vitreoretinal surgeries, and LASIK/SMILE procedures.</w:t>
      </w:r>
    </w:p>
    <w:p>
      <w:pPr>
        <w:numPr>
          <w:ilvl w:val="0"/>
          <w:numId w:val="1003"/>
        </w:numPr>
        <w:pStyle w:val="Compact"/>
      </w:pPr>
      <w:r>
        <w:rPr>
          <w:bCs/>
          <w:b/>
        </w:rPr>
        <w:t xml:space="preserve">Pediatric Wing:</w:t>
      </w:r>
      <w:r>
        <w:t xml:space="preserve"> </w:t>
      </w:r>
      <w:r>
        <w:t xml:space="preserve">A child-friendly environment designed to reduce anxiety for young patients requiring ophthalmologist evaluation.</w:t>
      </w:r>
    </w:p>
    <w:bookmarkEnd w:id="26"/>
    <w:bookmarkStart w:id="27" w:name="human-resources"/>
    <w:p>
      <w:pPr>
        <w:pStyle w:val="Heading3"/>
      </w:pPr>
      <w:r>
        <w:t xml:space="preserve">5.2 Human Resources</w:t>
      </w:r>
    </w:p>
    <w:p>
      <w:pPr>
        <w:pStyle w:val="FirstParagraph"/>
      </w:pPr>
      <w:r>
        <w:t xml:space="preserve">The success of this project hinges on the recruitment of qualified ophthalmologist professionals. The staffing plan includes:</w:t>
      </w:r>
    </w:p>
    <w:p>
      <w:pPr>
        <w:numPr>
          <w:ilvl w:val="0"/>
          <w:numId w:val="1004"/>
        </w:numPr>
        <w:pStyle w:val="Compact"/>
      </w:pPr>
      <w:r>
        <w:rPr>
          <w:bCs/>
          <w:b/>
        </w:rPr>
        <w:t xml:space="preserve">Cataract and Refractive Surgeons:</w:t>
      </w:r>
      <w:r>
        <w:t xml:space="preserve"> </w:t>
      </w:r>
      <w:r>
        <w:t xml:space="preserve">Senior consultants with international credentials.</w:t>
      </w:r>
    </w:p>
    <w:p>
      <w:pPr>
        <w:numPr>
          <w:ilvl w:val="0"/>
          <w:numId w:val="1004"/>
        </w:numPr>
        <w:pStyle w:val="Compact"/>
      </w:pPr>
      <w:r>
        <w:rPr>
          <w:bCs/>
          <w:b/>
        </w:rPr>
        <w:t xml:space="preserve">Vitreoretinal Specialists:</w:t>
      </w:r>
      <w:r>
        <w:t xml:space="preserve"> </w:t>
      </w:r>
      <w:r>
        <w:t xml:space="preserve">Experts in managing complex posterior segment diseases.</w:t>
      </w:r>
    </w:p>
    <w:p>
      <w:pPr>
        <w:numPr>
          <w:ilvl w:val="0"/>
          <w:numId w:val="1004"/>
        </w:numPr>
        <w:pStyle w:val="Compact"/>
      </w:pPr>
      <w:r>
        <w:rPr>
          <w:bCs/>
          <w:b/>
        </w:rPr>
        <w:t xml:space="preserve">Pediatric Ophthalmologists:</w:t>
      </w:r>
    </w:p>
    <w:p>
      <w:pPr>
        <w:numPr>
          <w:ilvl w:val="0"/>
          <w:numId w:val="1004"/>
        </w:numPr>
        <w:pStyle w:val="Compact"/>
      </w:pPr>
      <w:r>
        <w:rPr>
          <w:bCs/>
          <w:b/>
        </w:rPr>
        <w:t xml:space="preserve">Nursing and Allied Health Staff:</w:t>
      </w:r>
      <w:r>
        <w:t xml:space="preserve">: Trained specifically in eye care protocols to support the ophthalmologist team.</w:t>
      </w:r>
    </w:p>
    <w:bookmarkEnd w:id="27"/>
    <w:bookmarkEnd w:id="28"/>
    <w:bookmarkStart w:id="29" w:name="regulatory-and-licensing-framework"/>
    <w:p>
      <w:pPr>
        <w:pStyle w:val="Heading2"/>
      </w:pPr>
      <w:r>
        <w:t xml:space="preserve">6. Regulatory and Licensing Framework</w:t>
      </w:r>
    </w:p>
    <w:p>
      <w:pPr>
        <w:pStyle w:val="FirstParagraph"/>
      </w:pPr>
      <w:r>
        <w:t xml:space="preserve">In United Arab Emirates Abu Dhabi, all healthcare facilities must obtain licenses from the Department of Health (DoH). This project report acknowledges that the licensing process is rigorous and requires:</w:t>
      </w:r>
    </w:p>
    <w:p>
      <w:pPr>
        <w:numPr>
          <w:ilvl w:val="0"/>
          <w:numId w:val="1005"/>
        </w:numPr>
        <w:pStyle w:val="Compact"/>
      </w:pPr>
      <w:r>
        <w:t xml:space="preserve">Detailed architectural plans compliant with health codes.</w:t>
      </w:r>
    </w:p>
    <w:p>
      <w:pPr>
        <w:numPr>
          <w:ilvl w:val="0"/>
          <w:numId w:val="1005"/>
        </w:numPr>
        <w:pStyle w:val="Compact"/>
      </w:pPr>
      <w:r>
        <w:t xml:space="preserve">Credentialing verification for all ophthalmologist staff through the DoH Primary Data Source (PDS).</w:t>
      </w:r>
    </w:p>
    <w:p>
      <w:pPr>
        <w:numPr>
          <w:ilvl w:val="0"/>
          <w:numId w:val="1005"/>
        </w:numPr>
        <w:pStyle w:val="Compact"/>
      </w:pPr>
      <w:r>
        <w:t xml:space="preserve">Licensing of medical equipment as per local standards.</w:t>
      </w:r>
    </w:p>
    <w:p>
      <w:pPr>
        <w:pStyle w:val="FirstParagraph"/>
      </w:pPr>
      <w:r>
        <w:t xml:space="preserve">We will engage local legal consultants specializing in healthcare law to navigate these requirements efficiently, ensuring timely opening of the center.</w:t>
      </w:r>
    </w:p>
    <w:bookmarkEnd w:id="29"/>
    <w:bookmarkStart w:id="30" w:name="financial-projections-and-sustainability"/>
    <w:p>
      <w:pPr>
        <w:pStyle w:val="Heading2"/>
      </w:pPr>
      <w:r>
        <w:t xml:space="preserve">7. Financial Projections and Sustainability</w:t>
      </w:r>
    </w:p>
    <w:p>
      <w:pPr>
        <w:pStyle w:val="FirstParagraph"/>
      </w:pPr>
      <w:r>
        <w:t xml:space="preserve">The financial model for the ophthalmology center is based on a mix of self-pay patients, corporate health insurance packages, and government-sponsored care initiatives. Given the high disposable income in United Arab Emirates Abu Dhabi and widespread private health insurance coverage among expatriates, revenue streams are projected to be robust within the first two years.</w:t>
      </w:r>
    </w:p>
    <w:p>
      <w:pPr>
        <w:pStyle w:val="BodyText"/>
      </w:pPr>
      <w:r>
        <w:t xml:space="preserve">Key cost drivers include:</w:t>
      </w:r>
    </w:p>
    <w:p>
      <w:pPr>
        <w:numPr>
          <w:ilvl w:val="0"/>
          <w:numId w:val="1006"/>
        </w:numPr>
        <w:pStyle w:val="Compact"/>
      </w:pPr>
      <w:r>
        <w:t xml:space="preserve">Hospital lease or acquisition costs.</w:t>
      </w:r>
    </w:p>
    <w:p>
      <w:pPr>
        <w:numPr>
          <w:ilvl w:val="0"/>
          <w:numId w:val="1006"/>
        </w:numPr>
        <w:pStyle w:val="Compact"/>
      </w:pPr>
      <w:r>
        <w:t xml:space="preserve">Purchase of high-end ophthalmic surgical equipment.</w:t>
      </w:r>
    </w:p>
    <w:p>
      <w:pPr>
        <w:numPr>
          <w:ilvl w:val="0"/>
          <w:numId w:val="1006"/>
        </w:numPr>
        <w:pStyle w:val="Compact"/>
      </w:pPr>
      <w:r>
        <w:t xml:space="preserve">Salary packages for specialized ophthalmologist talent, which is competitive in the Gulf region.</w:t>
      </w:r>
    </w:p>
    <w:bookmarkEnd w:id="30"/>
    <w:bookmarkStart w:id="31" w:name="risk-management"/>
    <w:p>
      <w:pPr>
        <w:pStyle w:val="Heading2"/>
      </w:pPr>
      <w:r>
        <w:t xml:space="preserve">8. Risk Management</w:t>
      </w:r>
    </w:p>
    <w:p>
      <w:pPr>
        <w:pStyle w:val="FirstParagraph"/>
      </w:pPr>
      <w:r>
        <w:t xml:space="preserve">Potential risks include regulatory delays, supply chain disruptions for consumables, and competition from established hospitals. Mitigation strategies involve maintaining strong relationships with DoH officials, diversifying suppliers globally and locally, and building a strong brand reputation through community outreach programs in Abu Dhabi.</w:t>
      </w:r>
    </w:p>
    <w:bookmarkEnd w:id="31"/>
    <w:bookmarkStart w:id="32" w:name="conclusion"/>
    <w:p>
      <w:pPr>
        <w:pStyle w:val="Heading2"/>
      </w:pPr>
      <w:r>
        <w:t xml:space="preserve">9. Conclusion</w:t>
      </w:r>
    </w:p>
    <w:p>
      <w:pPr>
        <w:pStyle w:val="FirstParagraph"/>
      </w:pPr>
      <w:r>
        <w:t xml:space="preserve">The establishment of this specialized ophthalmology center represents a significant opportunity to enhance healthcare delivery in United Arab Emirates Abu Dhabi. By focusing on high-quality ophthalmologist care, leveraging advanced technology, and adhering to strict regulatory standards, the project aligns with the national health goals of improving vision health outcomes. We recommend proceeding with the feasibility study phase immediately to secure site locations and initiate recruitment processes for key ophthalmologist roles.</w:t>
      </w:r>
    </w:p>
    <w:p>
      <w:r>
        <w:pict>
          <v:rect style="width:0;height:1.5pt" o:hralign="center" o:hrstd="t" o:hr="t"/>
        </w:pict>
      </w:r>
    </w:p>
    <w:p>
      <w:pPr>
        <w:pStyle w:val="FirstParagraph"/>
      </w:pPr>
      <w:r>
        <w:rPr>
          <w:iCs/>
          <w:i/>
        </w:rPr>
        <w:t xml:space="preserve">This document is confidential and intended for internal use by stakeholders involved in the United Arab Emirates Abu Dhabi healthcare expansion project.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Ophthalmology Center in United Arab Emirates, Abu Dhabi</dc:title>
  <dc:creator/>
  <cp:keywords/>
  <dcterms:created xsi:type="dcterms:W3CDTF">2026-07-29T16:21:34Z</dcterms:created>
  <dcterms:modified xsi:type="dcterms:W3CDTF">2026-07-29T16:21:34Z</dcterms:modified>
</cp:coreProperties>
</file>

<file path=docProps/custom.xml><?xml version="1.0" encoding="utf-8"?>
<Properties xmlns="http://schemas.openxmlformats.org/officeDocument/2006/custom-properties" xmlns:vt="http://schemas.openxmlformats.org/officeDocument/2006/docPropsVTypes"/>
</file>