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28" w:name="Xb0eb67987004a0c4058f096ebd6a36262a3fda7"/>
    <w:p>
      <w:pPr>
        <w:pStyle w:val="Heading1"/>
      </w:pPr>
      <w:r>
        <w:t xml:space="preserve">Ophthalmologist Project Report</w:t>
      </w:r>
      <w:r>
        <w:br/>
      </w:r>
      <w:r>
        <w:t xml:space="preserve">Servicing the United Kingdom Manchester Region</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and operational framework of specialized ophthalmic care services within the bustling healthcare landscape of Manchester, United Kingdom. As one of the most populous and diverse cities in Europe, Manchester presents unique challenges and opportunities for eye care provision. This report outlines the necessity for high-quality ophthalmologist-led interventions, addressing demographic trends, technological integration, and clinical governance standards required to meet NHS benchmarks while serving both public and private sectors.</w:t>
      </w:r>
    </w:p>
    <w:bookmarkEnd w:id="20"/>
    <w:bookmarkStart w:id="21" w:name="introduction-and-contextual-background"/>
    <w:p>
      <w:pPr>
        <w:pStyle w:val="Heading2"/>
      </w:pPr>
      <w:r>
        <w:t xml:space="preserve">2. Introduction and Contextual Background</w:t>
      </w:r>
    </w:p>
    <w:p>
      <w:pPr>
        <w:pStyle w:val="FirstParagraph"/>
      </w:pPr>
      <w:r>
        <w:t xml:space="preserve">The demand for specialized ophthalmologist services in the United Kingdom is rising due to an aging population, increasing prevalence of diabetic retinopathy, and higher rates of myopia among younger demographics. Manchester, being a major cultural and economic hub within the North West of England, acts as a central referral point for complex eye conditions across the wider region. Consequently, establishing robust ophthalmologist-led units is not merely an operational upgrade but a critical public health imperative.</w:t>
      </w:r>
    </w:p>
    <w:p>
      <w:pPr>
        <w:pStyle w:val="BodyText"/>
      </w:pPr>
      <w:r>
        <w:t xml:space="preserve">This project report aims to evaluate the current service gaps in Manchester and propose a scalable model for integrating advanced diagnostic technologies with patient-centered care pathways. The focus remains steadfast on delivering excellence in visual health outcomes, ensuring that every resident of Manchester has access to timely, accurate, and compassionate ophthalmologist support.</w:t>
      </w:r>
    </w:p>
    <w:bookmarkEnd w:id="21"/>
    <w:bookmarkStart w:id="22" w:name="strategic-objectives"/>
    <w:p>
      <w:pPr>
        <w:pStyle w:val="Heading2"/>
      </w:pPr>
      <w:r>
        <w:t xml:space="preserve">3. Strategic Objectives</w:t>
      </w:r>
    </w:p>
    <w:p>
      <w:pPr>
        <w:pStyle w:val="FirstParagraph"/>
      </w:pPr>
      <w:r>
        <w:t xml:space="preserve">The primary objectives of this project are multifaceted and designed to enhance the overall standard of eye care in the United Kingdom Manchester area:</w:t>
      </w:r>
    </w:p>
    <w:p>
      <w:pPr>
        <w:numPr>
          <w:ilvl w:val="0"/>
          <w:numId w:val="1001"/>
        </w:numPr>
        <w:pStyle w:val="Compact"/>
      </w:pPr>
      <w:r>
        <w:rPr>
          <w:bCs/>
          <w:b/>
        </w:rPr>
        <w:t xml:space="preserve">Clinical Excellence:</w:t>
      </w:r>
      <w:r>
        <w:t xml:space="preserve"> </w:t>
      </w:r>
      <w:r>
        <w:t xml:space="preserve">To provide state-of-the-art surgical and medical management for conditions such as glaucoma, cataracts, age-related macular degeneration (AMD), and diabetic eye disease.</w:t>
      </w:r>
    </w:p>
    <w:p>
      <w:pPr>
        <w:numPr>
          <w:ilvl w:val="0"/>
          <w:numId w:val="1001"/>
        </w:numPr>
        <w:pStyle w:val="Compact"/>
      </w:pPr>
      <w:r>
        <w:rPr>
          <w:bCs/>
          <w:b/>
        </w:rPr>
        <w:t xml:space="preserve">Digital Integration:</w:t>
      </w:r>
      <w:r>
        <w:t xml:space="preserve"> </w:t>
      </w:r>
      <w:r>
        <w:t xml:space="preserve">To implement advanced tele-ophthalmology solutions that bridge the gap between primary care optometrists in Manchester and specialist ophthalmologists in hospital settings.</w:t>
      </w:r>
    </w:p>
    <w:p>
      <w:pPr>
        <w:numPr>
          <w:ilvl w:val="0"/>
          <w:numId w:val="1001"/>
        </w:numPr>
        <w:pStyle w:val="Compact"/>
      </w:pPr>
      <w:r>
        <w:rPr>
          <w:bCs/>
          <w:b/>
        </w:rPr>
        <w:t xml:space="preserve">Patient Experience:</w:t>
      </w:r>
    </w:p>
    <w:p>
      <w:pPr>
        <w:numPr>
          <w:ilvl w:val="0"/>
          <w:numId w:val="1001"/>
        </w:numPr>
        <w:pStyle w:val="Compact"/>
      </w:pPr>
      <w:r>
        <w:rPr>
          <w:bCs/>
          <w:b/>
        </w:rPr>
        <w:t xml:space="preserve">Workforce Development:</w:t>
      </w:r>
      <w:r>
        <w:t xml:space="preserve"> </w:t>
      </w:r>
      <w:r>
        <w:t xml:space="preserve">To foster a collaborative environment for training junior ophthalmologists and allied health professionals within the United Kingdom’s rigorous academic medical framework.</w:t>
      </w:r>
    </w:p>
    <w:bookmarkEnd w:id="22"/>
    <w:bookmarkStart w:id="23" w:name="market-analysis-the-manchester-landscape"/>
    <w:p>
      <w:pPr>
        <w:pStyle w:val="Heading2"/>
      </w:pPr>
      <w:r>
        <w:t xml:space="preserve">4. Market Analysis: The Manchester Landscape</w:t>
      </w:r>
    </w:p>
    <w:p>
      <w:pPr>
        <w:pStyle w:val="FirstParagraph"/>
      </w:pPr>
      <w:r>
        <w:t xml:space="preserve">An analysis of the current healthcare landscape in Manchester reveals a significant disparity between patient volume and specialist availability. While the city boasts excellent facilities such as Manchester Royal Eye Hospital, regional saturation often leads to prolonged waiting lists for non-urgent ophthalmologist consultations.</w:t>
      </w:r>
    </w:p>
    <w:p>
      <w:pPr>
        <w:pStyle w:val="BodyText"/>
      </w:pPr>
      <w:r>
        <w:t xml:space="preserve">Furthermore, socioeconomic factors within various districts of Manchester contribute to varied health outcomes. Diabetic retinopathy screening programs are critical in this region due to the high prevalence of Type 2 diabetes. The proposed project seeks to alleviate pressure on acute NHS trusts by creating integrated community-based ophthalmology clinics that operate under the supervision of senior consultants, ensuring that care remains accessible regardless of postcode.</w:t>
      </w:r>
    </w:p>
    <w:bookmarkEnd w:id="23"/>
    <w:bookmarkStart w:id="24" w:name="operational-framework-and-technology"/>
    <w:p>
      <w:pPr>
        <w:pStyle w:val="Heading2"/>
      </w:pPr>
      <w:r>
        <w:t xml:space="preserve">5. Operational Framework and Technology</w:t>
      </w:r>
    </w:p>
    <w:p>
      <w:pPr>
        <w:pStyle w:val="FirstParagraph"/>
      </w:pPr>
      <w:r>
        <w:t xml:space="preserve">To achieve the stated objectives, the operational model relies heavily on technological innovation. The deployment of Optical Coherence Tomography (OCT) and Automated Perimetry is standard across all proposed units in Manchester. These tools allow ophthalmologists to make precise diagnoses earlier than ever before.</w:t>
      </w:r>
    </w:p>
    <w:p>
      <w:pPr>
        <w:pStyle w:val="BodyText"/>
      </w:pPr>
      <w:r>
        <w:t xml:space="preserve">Additionally, the project incorporates a centralized digital record system compliant with UK General Data Protection Regulation (GDPR). This ensures that when a patient presents for an emergency consultation, their full ocular history is instantly available to any authorized ophthalmologist within the Manchester network. Telemedicine platforms will also be utilized for follow-up appointments, reducing hospital footfall and allowing clinicians to focus on complex cases requiring physical intervention.</w:t>
      </w:r>
    </w:p>
    <w:bookmarkEnd w:id="24"/>
    <w:bookmarkStart w:id="25" w:name="X0cc6d49445ee69c86d518829a41a7764d413dc8"/>
    <w:p>
      <w:pPr>
        <w:pStyle w:val="Heading2"/>
      </w:pPr>
      <w:r>
        <w:t xml:space="preserve">6. Clinical Governance and Quality Assurance</w:t>
      </w:r>
    </w:p>
    <w:p>
      <w:pPr>
        <w:pStyle w:val="FirstParagraph"/>
      </w:pPr>
      <w:r>
        <w:t xml:space="preserve">In the United Kingdom, clinical governance is paramount. This project report emphasizes strict adherence to guidelines set by NICE (National Institute for Health and Care Excellence) and the Royal College of Ophthalmologists. Regular audit cycles will be conducted to monitor surgical success rates, patient satisfaction scores, and adverse event reporting.</w:t>
      </w:r>
    </w:p>
    <w:p>
      <w:pPr>
        <w:pStyle w:val="BodyText"/>
      </w:pPr>
      <w:r>
        <w:t xml:space="preserve">Quality assurance teams will work closely with local Integrated Care Boards (ICBs) in Greater Manchester to ensure that service delivery aligns with regional health priorities. Continuous professional development for all staff is mandatory, ensuring that ophthalmologists remain at the forefront of global advancements in retinal therapies and refractive surgery.</w:t>
      </w:r>
    </w:p>
    <w:bookmarkEnd w:id="25"/>
    <w:bookmarkStart w:id="26" w:name="X8f7b00223a1a7322ad8e7a912da95401efb506c"/>
    <w:p>
      <w:pPr>
        <w:pStyle w:val="Heading2"/>
      </w:pPr>
      <w:r>
        <w:t xml:space="preserve">7. Financial Implications and Sustainability</w:t>
      </w:r>
    </w:p>
    <w:p>
      <w:pPr>
        <w:pStyle w:val="FirstParagraph"/>
      </w:pPr>
      <w:r>
        <w:t xml:space="preserve">The financial model for this project balances NHS funding streams with potential private sector contributions to subsidize costs. Initial capital investment is directed toward diagnostic equipment and digital infrastructure. However, long-term sustainability is achieved through efficiency gains; by reducing unnecessary hospital visits via tele-monitoring, the system saves significant resources.</w:t>
      </w:r>
    </w:p>
    <w:p>
      <w:pPr>
        <w:pStyle w:val="BodyText"/>
      </w:pPr>
      <w:r>
        <w:t xml:space="preserve">Moreover, early detection of sight-threatening conditions reduces the long-term social care burden on Manchester families and the state. Investing in preventative ophthalmologist-led care is economically prudent as it preserves workforce productivity and maintains independence among elderly residents.</w:t>
      </w:r>
    </w:p>
    <w:bookmarkEnd w:id="26"/>
    <w:bookmarkStart w:id="27" w:name="conclusion"/>
    <w:p>
      <w:pPr>
        <w:pStyle w:val="Heading2"/>
      </w:pPr>
      <w:r>
        <w:t xml:space="preserve">8. Conclusion</w:t>
      </w:r>
    </w:p>
    <w:p>
      <w:pPr>
        <w:pStyle w:val="FirstParagraph"/>
      </w:pPr>
      <w:r>
        <w:t xml:space="preserve">In conclusion, this Project Report underscores the vital importance of expanding and refining ophthalmologist services within Manchester, United Kingdom. By leveraging technology, adhering to strict governance standards, and focusing on patient-centric outcomes, we can create a resilient eye care system that serves all communities effectively.</w:t>
      </w:r>
    </w:p>
    <w:p>
      <w:pPr>
        <w:pStyle w:val="BodyText"/>
      </w:pPr>
      <w:r>
        <w:t xml:space="preserve">The integration of specialized ophthalmology into the broader healthcare fabric of Manchester will not only improve individual lives but also strengthen the reputation of UK healthcare on an international stage. It is recommended that stakeholders approve the implementation phase immediately to begin alleviating waiting lists and enhancing visual health standards across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United Kingdom Manchester</dc:title>
  <dc:creator/>
  <dc:language>en</dc:language>
  <cp:keywords/>
  <dcterms:created xsi:type="dcterms:W3CDTF">2026-07-29T15:11:33Z</dcterms:created>
  <dcterms:modified xsi:type="dcterms:W3CDTF">2026-07-29T15:11:33Z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