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p>
      <w:pPr>
        <w:pStyle w:val="BodyText"/>
      </w:pPr>
      <w:r>
        <w:t xml:space="preserve">PROJECT REPORT</w:t>
      </w:r>
      <w:r>
        <w:br/>
      </w:r>
      <w:r>
        <w:t xml:space="preserve">Ophthalmologist</w:t>
      </w:r>
      <w:r>
        <w:br/>
      </w:r>
      <w:r>
        <w:t xml:space="preserve">United States Miami</w:t>
      </w:r>
    </w:p>
    <w:p>
      <w:pPr>
        <w:pStyle w:val="BodyText"/>
      </w:pPr>
      <w:r>
        <w:br/>
      </w:r>
      <w:r>
        <w:br/>
      </w:r>
    </w:p>
    <w:tbl>
      <w:tblPr>
        <w:tblStyle w:val="Table"/>
        <w:tblW w:type="auto" w:w="0"/>
        <w:tblLook w:firstRow="0" w:lastRow="0" w:firstColumn="0" w:lastColumn="0" w:noHBand="0" w:noVBand="0" w:val="0000"/>
      </w:tblPr>
      <w:tblGrid>
        <w:gridCol w:w="7920"/>
      </w:tblGrid>
      <w:tr>
        <w:tc>
          <w:tcPr/>
          <w:p>
            <w:pPr>
              <w:pStyle w:val="Compact"/>
              <w:jc w:val="left"/>
            </w:pPr>
            <w:r>
              <w:t xml:space="preserve">Table of Contents</w:t>
            </w:r>
          </w:p>
        </w:tc>
      </w:tr>
    </w:tbl>
    <w:p>
      <w:pPr>
        <w:pStyle w:val="BodyText"/>
      </w:pPr>
      <w:r>
        <w:t xml:space="preserve">Introduction</w:t>
      </w:r>
    </w:p>
    <w:p>
      <w:pPr>
        <w:pStyle w:val="BodyText"/>
      </w:pPr>
      <w:r>
        <w:t xml:space="preserve">Demand Analysis for Ophthalmologist Services in United States Miami</w:t>
      </w:r>
    </w:p>
    <w:p>
      <w:pPr>
        <w:pStyle w:val="BodyText"/>
      </w:pPr>
      <w:r>
        <w:t xml:space="preserve">Social, Political, and Economic Factors Influencing the Industry</w:t>
      </w:r>
    </w:p>
    <w:p>
      <w:pPr>
        <w:pStyle w:val="BodyText"/>
      </w:pPr>
      <w:r>
        <w:t xml:space="preserve">Ethical Considerations and Patient Rights</w:t>
      </w:r>
    </w:p>
    <w:p>
      <w:pPr>
        <w:pStyle w:val="BodyText"/>
      </w:pPr>
      <w:r>
        <w:t xml:space="preserve">Literature Review: Trends in Ophthalmology Care Delivery</w:t>
      </w:r>
    </w:p>
    <w:p>
      <w:pPr>
        <w:pStyle w:val="BodyText"/>
      </w:pPr>
      <w:r>
        <w:br/>
      </w:r>
    </w:p>
    <w:p>
      <w:pPr>
        <w:numPr>
          <w:ilvl w:val="0"/>
          <w:numId w:val="1001"/>
        </w:numPr>
        <w:pStyle w:val="Compact"/>
      </w:pPr>
      <w:r>
        <w:t xml:space="preserve">Technological Advancements</w:t>
      </w:r>
      <w:r>
        <w:br/>
      </w:r>
    </w:p>
    <w:tbl>
      <w:tblPr>
        <w:tblStyle w:val="Table"/>
        <w:tblW w:type="auto" w:w="0"/>
        <w:tblLook w:firstRow="0" w:lastRow="0" w:firstColumn="0" w:lastColumn="0" w:noHBand="0" w:noVBand="0" w:val="0000"/>
      </w:tblPr>
      <w:tblGrid>
        <w:gridCol w:w="7920"/>
      </w:tblGrid>
      <w:tr>
        <w:tc>
          <w:tcPr/>
          <w:p>
            <w:pPr>
              <w:pStyle w:val="Compact"/>
              <w:jc w:val="left"/>
            </w:pPr>
            <w:r>
              <w:t xml:space="preserve">Data Analysis</w:t>
            </w:r>
          </w:p>
        </w:tc>
      </w:tr>
    </w:tbl>
    <w:p>
      <w:pPr>
        <w:pStyle w:val="BodyText"/>
      </w:pPr>
      <w:r>
        <w:br/>
      </w:r>
    </w:p>
    <w:p>
      <w:pPr>
        <w:pStyle w:val="BodyText"/>
      </w:pPr>
      <w:r>
        <w:t xml:space="preserve">Our findings indicate that there are several key drivers influencing this report's conclusions. These include demographic shifts towards older populations, increased prevalence of chronic diseases such as diabetes and hypertension which often lead to ocular complications (e.g., diabetic retinopathy), and advancements in telemedicine platforms enabling remote consultations between patients seeking care from an Ophthalmologist provider based elsewhere but connected virtually within the broader healthcare network of the United States Miami region.</w:t>
      </w:r>
    </w:p>
    <w:p>
      <w:pPr>
        <w:pStyle w:val="BodyText"/>
      </w:pPr>
      <w:r>
        <w:br/>
      </w:r>
    </w:p>
    <w:p>
      <w:pPr>
        <w:numPr>
          <w:ilvl w:val="0"/>
          <w:numId w:val="1002"/>
        </w:numPr>
        <w:pStyle w:val="Compact"/>
      </w:pPr>
      <w:r>
        <w:t xml:space="preserve">Regulatory Environment Overview</w:t>
      </w:r>
      <w:r>
        <w:br/>
      </w:r>
    </w:p>
    <w:tbl>
      <w:tblPr>
        <w:tblStyle w:val="Table"/>
        <w:tblW w:type="auto" w:w="0"/>
        <w:tblLook w:firstRow="0" w:lastRow="0" w:firstColumn="0" w:lastColumn="0" w:noHBand="0" w:noVBand="0" w:val="0000"/>
      </w:tblPr>
      <w:tblGrid>
        <w:gridCol w:w="7920"/>
      </w:tblGrid>
      <w:tr>
        <w:tc>
          <w:tcPr/>
          <w:p>
            <w:pPr>
              <w:pStyle w:val="Compact"/>
              <w:jc w:val="left"/>
            </w:pPr>
            <w:r>
              <w:t xml:space="preserve">Key Challenges Identified</w:t>
            </w:r>
          </w:p>
        </w:tc>
      </w:tr>
    </w:tbl>
    <w:p>
      <w:pPr>
        <w:pStyle w:val="BodyText"/>
      </w:pPr>
      <w:r>
        <w:br/>
      </w:r>
    </w:p>
    <w:p>
      <w:pPr>
        <w:pStyle w:val="BodyText"/>
      </w:pPr>
      <w:r>
        <w:t xml:space="preserve">A primary challenge identified involves insurance coverage limitations for certain elective procedures performed by an Ophthalmologist specialist outside traditional Medicare/Medicaid frameworks prevalent across many parts of the United States including localities near or directly adjacent to major urban centers like those found around areas designated as part of "Miami". Another significant hurdle pertains to regulatory hurdles related interstate practice licenses when considering expansion opportunities beyond initial launch sites established under current operational parameters set forth earlier in this document.</w:t>
      </w:r>
    </w:p>
    <w:p>
      <w:pPr>
        <w:pStyle w:val="BodyText"/>
      </w:pPr>
      <w:r>
        <w:br/>
      </w:r>
    </w:p>
    <w:p>
      <w:pPr>
        <w:numPr>
          <w:ilvl w:val="0"/>
          <w:numId w:val="1003"/>
        </w:numPr>
        <w:pStyle w:val="Compact"/>
      </w:pPr>
      <w:r>
        <w:t xml:space="preserve">Future Outlook and Recommendations</w:t>
      </w:r>
      <w:r>
        <w:br/>
      </w:r>
    </w:p>
    <w:tbl>
      <w:tblPr>
        <w:tblStyle w:val="Table"/>
        <w:tblW w:type="auto" w:w="0"/>
        <w:tblLook w:firstRow="0" w:lastRow="0" w:firstColumn="0" w:lastColumn="0" w:noHBand="0" w:noVBand="0" w:val="0000"/>
      </w:tblPr>
      <w:tblGrid>
        <w:gridCol w:w="7920"/>
      </w:tblGrid>
      <w:tr>
        <w:tc>
          <w:tcPr/>
          <w:p>
            <w:pPr>
              <w:pStyle w:val="Compact"/>
              <w:jc w:val="left"/>
            </w:pPr>
            <w:r>
              <w:t xml:space="preserve">Conclusion</w:t>
            </w:r>
          </w:p>
        </w:tc>
      </w:tr>
    </w:tbl>
    <w:p>
      <w:pPr>
        <w:pStyle w:val="BodyText"/>
      </w:pPr>
      <w:r>
        <w:br/>
      </w:r>
    </w:p>
    <w:p>
      <w:pPr>
        <w:pStyle w:val="BodyText"/>
      </w:pPr>
      <w:r>
        <w:t xml:space="preserve">In conclusion, while numerous opportunities exist for growth within this sector—particularly given growing awareness among consumers regarding preventive eye care services offered by qualified professionals certified as an Ophthalmologist—it remains imperative that stakeholders remain vigilant against potential pitfalls associated with rapidly evolving technological landscapes coupled with stringent regulatory requirements imposed upon entities operating within highly regulated industries such healthcare delivery systems spanning across diverse geographic regions encompassed under umbrella terms like "United States" alongside specific locales exemplified prominently here through reference made explicitly regarding location context specified initially above i.e., "Miami."</w:t>
      </w:r>
    </w:p>
    <w:p>
      <w:pPr>
        <w:pStyle w:val="BodyText"/>
      </w:pPr>
      <w:r>
        <w:t xml:space="preserve">© 2024 Healthcare Research Institute | Prepared for Internal Distribution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United States Miami</dc:title>
  <dc:creator/>
  <dc:language>en</dc:language>
  <cp:keywords/>
  <dcterms:created xsi:type="dcterms:W3CDTF">2026-07-30T03:08:12Z</dcterms:created>
  <dcterms:modified xsi:type="dcterms:W3CDTF">2026-07-30T03:08:12Z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