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Practice</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b23912ed37fa3717b83763f1eff4248c14bdf0"/>
    <w:p>
      <w:pPr>
        <w:pStyle w:val="Heading1"/>
      </w:pPr>
      <w:r>
        <w:t xml:space="preserve">Ophthalmology Practice Establishment Project Report</w:t>
      </w:r>
    </w:p>
    <w:p>
      <w:pPr>
        <w:pStyle w:val="FirstParagraph"/>
      </w:pPr>
      <w:r>
        <w:t xml:space="preserve">Strategic Planning, Clinical Operations, and Market Integration Guide for the United States New York City Healthcare Sector</w:t>
      </w:r>
    </w:p>
    <w:bookmarkEnd w:id="20"/>
    <w:p>
      <w:pPr>
        <w:pStyle w:val="BodyText"/>
      </w:pPr>
      <w:r>
        <w:rPr>
          <w:bCs/>
          <w:b/>
        </w:rPr>
        <w:t xml:space="preserve">Purpose of this Document:</w:t>
      </w:r>
      <w:r>
        <w:t xml:space="preserve"> </w:t>
      </w:r>
      <w:r>
        <w:t xml:space="preserve">This comprehensive Project Report outlines the foundational framework, clinical protocols, regulatory compliance measures, and financial projections required to successfully establish and operate a premier Ophthalmologist practice. The scope is specifically tailored to address the unique demographic landscape, healthcare infrastructure, and commercial dynamics within the United States New York City metropolitan area.</w:t>
      </w:r>
    </w:p>
    <w:bookmarkStart w:id="22" w:name="X102b2e9de4183984340b81b0bb402a984d3925a"/>
    <w:bookmarkStart w:id="21" w:name="executive-summary"/>
    <w:p>
      <w:pPr>
        <w:pStyle w:val="Heading2"/>
      </w:pPr>
      <w:r>
        <w:t xml:space="preserve">1. Executive Summary</w:t>
      </w:r>
    </w:p>
    <w:p>
      <w:pPr>
        <w:pStyle w:val="FirstParagraph"/>
      </w:pPr>
      <w:r>
        <w:t xml:space="preserve">The purpose of this Project Report is to provide stakeholders, investors, and clinical leadership with a detailed blueprint for launching a high-volume, technologically advanced ophthalmology clinic. As demand for specialized eye care continues to rise across the United States New York City region, this initiative addresses critical gaps in accessible retinal diagnostics, cataract surgery scheduling, and chronic glaucoma management. By positioning an experienced Ophthalmologist at the center of clinical decision-making and operational oversight, the project ensures that patient outcomes align with national standards while meeting the distinct needs of one of the most diverse healthcare markets in North America.</w:t>
      </w:r>
    </w:p>
    <w:bookmarkEnd w:id="21"/>
    <w:bookmarkEnd w:id="22"/>
    <w:bookmarkStart w:id="24" w:name="Xf28927577efa5d73038e0365e3b2f0c54cabaaa"/>
    <w:bookmarkStart w:id="23" w:name="strategic-objectives"/>
    <w:p>
      <w:pPr>
        <w:pStyle w:val="Heading2"/>
      </w:pPr>
      <w:r>
        <w:t xml:space="preserve">2. Strategic Objectives</w:t>
      </w:r>
    </w:p>
    <w:p>
      <w:pPr>
        <w:pStyle w:val="FirstParagraph"/>
      </w:pPr>
      <w:r>
        <w:t xml:space="preserve">This Project Report establishes measurable goals that guide every phase of practice development:</w:t>
      </w:r>
    </w:p>
    <w:p>
      <w:pPr>
        <w:numPr>
          <w:ilvl w:val="0"/>
          <w:numId w:val="1001"/>
        </w:numPr>
        <w:pStyle w:val="Compact"/>
      </w:pPr>
      <w:r>
        <w:t xml:space="preserve">Achieve board certification compliance and state licensure for all practicing Ophthalmologist personnel within the first ninety days of operational launch.</w:t>
      </w:r>
    </w:p>
    <w:p>
      <w:pPr>
        <w:numPr>
          <w:ilvl w:val="0"/>
          <w:numId w:val="1001"/>
        </w:numPr>
        <w:pStyle w:val="Compact"/>
      </w:pPr>
      <w:r>
        <w:t xml:space="preserve">Capture a minimum eight percent market share among uninsured, Medicaid-eligible, and privately insured patients across five boroughs within twenty-four months.</w:t>
      </w:r>
    </w:p>
    <w:p>
      <w:pPr>
        <w:numPr>
          <w:ilvl w:val="0"/>
          <w:numId w:val="1001"/>
        </w:numPr>
        <w:pStyle w:val="Compact"/>
      </w:pPr>
      <w:r>
        <w:t xml:space="preserve">Implement teleophthalmology triage systems specifically calibrated for United States New York City transit-dependent populations who require flexible scheduling and multilingual care coordination.</w:t>
      </w:r>
    </w:p>
    <w:p>
      <w:pPr>
        <w:numPr>
          <w:ilvl w:val="0"/>
          <w:numId w:val="1001"/>
        </w:numPr>
        <w:pStyle w:val="Compact"/>
      </w:pPr>
      <w:r>
        <w:t xml:space="preserve">Maintain a patient satisfaction index exceeding ninety-two percent by integrating rapid diagnostic imaging, minimally invasive surgical techniques, and culturally competent clinical staff.</w:t>
      </w:r>
    </w:p>
    <w:bookmarkEnd w:id="23"/>
    <w:bookmarkEnd w:id="24"/>
    <w:bookmarkStart w:id="26" w:name="Xe5de42f36d63fb3e5a948a1012b2a5f937a3ce9"/>
    <w:bookmarkStart w:id="25" w:name="X14384673a9780e6790a9fc8143074df7799fb04"/>
    <w:p>
      <w:pPr>
        <w:pStyle w:val="Heading2"/>
      </w:pPr>
      <w:r>
        <w:t xml:space="preserve">3. Clinical Operations &amp; Ophthalmologist Workflow</w:t>
      </w:r>
    </w:p>
    <w:p>
      <w:pPr>
        <w:pStyle w:val="FirstParagraph"/>
      </w:pPr>
      <w:r>
        <w:t xml:space="preserve">The operational model centers on a physician-led structure where the primary Ophthalmologist oversees diagnostic pathways, surgical scheduling, and postoperative care protocols. Diagnostic capabilities will include optical coherence tomography (OCT), fundus photography, Humphrey visual field testing, and anterior segment OCT for corneal mapping. The clinic will manage high-prevalence conditions in the United States New York City population such as diabetic retinopathy, age-related macular degeneration, glaucoma subtypes, and pediatric refractive errors.</w:t>
      </w:r>
    </w:p>
    <w:p>
      <w:pPr>
        <w:pStyle w:val="BodyText"/>
      </w:pPr>
      <w:r>
        <w:t xml:space="preserve">Surgical services will feature ambulatory phacoemulsification cataract extraction with premium intraocular lens options. All procedures will adhere to American Academy of Ophthalmology guidelines while incorporating value-based care metrics emphasized by federal Medicare programs and regional New York health plans. The Ophthalmologist will coordinate closely with optometrists, retinal specialists, and primary care networks to ensure seamless referral integration across the city.</w:t>
      </w:r>
    </w:p>
    <w:bookmarkEnd w:id="25"/>
    <w:bookmarkEnd w:id="26"/>
    <w:bookmarkStart w:id="28" w:name="Xcac46b9f7c59ddab1e0551f6ef98a2a7e474fe4"/>
    <w:bookmarkStart w:id="27" w:name="Xe78617e5559f69dce4b6135de1b0ca6513f3436"/>
    <w:p>
      <w:pPr>
        <w:pStyle w:val="Heading2"/>
      </w:pPr>
      <w:r>
        <w:t xml:space="preserve">4. Demographic &amp; Market Analysis: United States New York City Context</w:t>
      </w:r>
    </w:p>
    <w:p>
      <w:pPr>
        <w:pStyle w:val="FirstParagraph"/>
      </w:pPr>
      <w:r>
        <w:t xml:space="preserve">New York City represents a unique healthcare ecosystem characterized by dense urban neighborhoods, high chronic disease prevalence, and a highly fragmented payer mix. This Project Report incorporates granular demographic data indicating an aging population across Staten Island and parts of Brooklyn alongside growing pediatric cohorts in Queens and the Bronx. These shifts directly influence demand for Ophthalmologist services specializing in diabetic eye care, glaucoma management, and pediatric ophthalmology.</w:t>
      </w:r>
    </w:p>
    <w:p>
      <w:pPr>
        <w:pStyle w:val="BodyText"/>
      </w:pPr>
      <w:r>
        <w:t xml:space="preserve">Competitive analysis reveals that while numerous private practices operate within a five-mile radius of major medical centers like Mount Sinai and New York-Presbyterian, many lack integrated digital health platforms or multilingual outreach programs. By leveraging community-based partnerships with local hospitals, senior residence networks, and federally qualified health centers in the United States New York City corridor, the practice will differentiate itself through accessibility, technology-driven diagnostics, and transparent pricing structures that align with state consumer protection guidelines.</w:t>
      </w:r>
    </w:p>
    <w:bookmarkEnd w:id="27"/>
    <w:bookmarkEnd w:id="28"/>
    <w:bookmarkStart w:id="30" w:name="Xb0ad4907a9815618b4a04c935aae2380cbc0d00"/>
    <w:bookmarkStart w:id="29" w:name="regulatory-compliance-risk-management"/>
    <w:p>
      <w:pPr>
        <w:pStyle w:val="Heading2"/>
      </w:pPr>
      <w:r>
        <w:t xml:space="preserve">5. Regulatory Compliance &amp; Risk Management</w:t>
      </w:r>
    </w:p>
    <w:p>
      <w:pPr>
        <w:pStyle w:val="FirstParagraph"/>
      </w:pPr>
      <w:r>
        <w:t xml:space="preserve">Maintaining strict adherence to federal and state mandates is a cornerstone of this Project Report. All clinical operations will comply with Health Insurance Portability and Accountability Act (HIPAA) standards, New York State Department of Health facility licensing requirements, and Occupational Safety and Health Administration protocols for ophthalmic imaging equipment. The Ophthalmologist practice will implement automated electronic health record auditing, mandatory cybersecurity training for administrative personnel, and continuous quality improvement reviews to mitigate malpractice exposure.</w:t>
      </w:r>
    </w:p>
    <w:p>
      <w:pPr>
        <w:pStyle w:val="BodyText"/>
      </w:pPr>
      <w:r>
        <w:t xml:space="preserve">Risk mitigation strategies also address supply chain volatility for viscoelastic agents, IOL inventory tracking, and pharmaceutical procurement within New York City distribution networks. A dedicated compliance officer will monitor changes in United States Medicare reimbursement policies and NY Medicaid fee schedules, ensuring billing accuracy and preventing audit-triggering documentation gaps.</w:t>
      </w:r>
    </w:p>
    <w:bookmarkEnd w:id="29"/>
    <w:bookmarkEnd w:id="30"/>
    <w:bookmarkStart w:id="32" w:name="Xb79b4af93b0f29613cffea1a9342e60225cc3f4"/>
    <w:bookmarkStart w:id="31" w:name="financial-planning-resource-allocation"/>
    <w:p>
      <w:pPr>
        <w:pStyle w:val="Heading2"/>
      </w:pPr>
      <w:r>
        <w:t xml:space="preserve">6. Financial Planning &amp; Resource Allocation</w:t>
      </w:r>
    </w:p>
    <w:p>
      <w:pPr>
        <w:pStyle w:val="FirstParagraph"/>
      </w:pPr>
      <w:r>
        <w:t xml:space="preserve">The financial framework outlined in this Project Report requires an initial capital expenditure of approximately $1.8 million, covering commercial leasehold improvements, OCT and phacoemulsification systems, practice management software licensing, and six months of operational runway. Revenue streams will derive from professional fees for Ophthalmologist consultations, procedural coding (CPT 66984 for cataract surgery with IOL insertion), diagnostic testing reimbursements, and contracted value-based care incentives.</w:t>
      </w:r>
    </w:p>
    <w:p>
      <w:pPr>
        <w:pStyle w:val="BodyText"/>
      </w:pPr>
      <w:r>
        <w:t xml:space="preserve">Break-even analysis projects stabilization by month twenty-two, contingent upon achieving a minimum daily patient volume of forty-five visits and maintaining surgical case throughput above twelve procedures per week. The financial model incorporates dynamic payer mix balancing to offset the impact of lower-reimbursement public insurance plans prevalent throughout the United States New York City healthcare landscape.</w:t>
      </w:r>
    </w:p>
    <w:bookmarkEnd w:id="31"/>
    <w:bookmarkEnd w:id="32"/>
    <w:bookmarkStart w:id="34" w:name="Xe5c6fd85fcceb4d15e2a0e28f2247250509842e"/>
    <w:bookmarkStart w:id="33" w:name="implementation-milestones"/>
    <w:p>
      <w:pPr>
        <w:pStyle w:val="Heading2"/>
      </w:pPr>
      <w:r>
        <w:t xml:space="preserve">7. Implementation Milestones</w:t>
      </w:r>
    </w:p>
    <w:p>
      <w:pPr>
        <w:numPr>
          <w:ilvl w:val="0"/>
          <w:numId w:val="1002"/>
        </w:numPr>
        <w:pStyle w:val="Compact"/>
      </w:pPr>
      <w:r>
        <w:rPr>
          <w:bCs/>
          <w:b/>
        </w:rPr>
        <w:t xml:space="preserve">Months 1–3:</w:t>
      </w:r>
      <w:r>
        <w:t xml:space="preserve"> </w:t>
      </w:r>
      <w:r>
        <w:t xml:space="preserve">Site selection, architectural permitting, state facility approval, and Ophthalmologist credentialing submission.</w:t>
      </w:r>
    </w:p>
    <w:p>
      <w:pPr>
        <w:numPr>
          <w:ilvl w:val="0"/>
          <w:numId w:val="1002"/>
        </w:numPr>
        <w:pStyle w:val="Compact"/>
      </w:pPr>
      <w:r>
        <w:rPr>
          <w:bCs/>
          <w:b/>
        </w:rPr>
        <w:t xml:space="preserve">Months 4–6:</w:t>
      </w:r>
    </w:p>
    <w:p>
      <w:pPr>
        <w:numPr>
          <w:ilvl w:val="0"/>
          <w:numId w:val="1002"/>
        </w:numPr>
        <w:pStyle w:val="Compact"/>
      </w:pPr>
      <w:r>
        <w:rPr>
          <w:bCs/>
          <w:b/>
        </w:rPr>
        <w:t xml:space="preserve">Months 7–8:</w:t>
      </w:r>
    </w:p>
    <w:p>
      <w:pPr>
        <w:numPr>
          <w:ilvl w:val="0"/>
          <w:numId w:val="1002"/>
        </w:numPr>
        <w:pStyle w:val="Compact"/>
      </w:pPr>
      <w:r>
        <w:t xml:space="preserve">Month 9 onward:</w:t>
      </w:r>
    </w:p>
    <w:bookmarkEnd w:id="33"/>
    <w:bookmarkEnd w:id="34"/>
    <w:bookmarkStart w:id="36" w:name="X068cadce569253993d0037f110a97f237619c0f"/>
    <w:bookmarkStart w:id="35" w:name="conclusion"/>
    <w:p>
      <w:pPr>
        <w:pStyle w:val="Heading2"/>
      </w:pPr>
      <w:r>
        <w:t xml:space="preserve">8. Conclusion</w:t>
      </w:r>
    </w:p>
    <w:p>
      <w:pPr>
        <w:pStyle w:val="FirstParagraph"/>
      </w:pPr>
      <w:r>
        <w:t xml:space="preserve">This Project Report serves as the definitive strategic roadmap for establishing a sustainable, clinically excellent Ophthalmology practice tailored to the complexities of modern urban healthcare. By aligning advanced diagnostic capabilities with compassionate patient-centered care, the initiative directly addresses critical vision health disparities across the United States New York City region. The successful execution of this plan will position an experienced Ophthalmologist at the forefront of community eye health delivery, ensuring long-term clinical impact, operational resilience, and measurable improvements in regional visual acuity outcomes.</w:t>
      </w:r>
    </w:p>
    <w:bookmarkEnd w:id="35"/>
    <w:bookmarkEnd w:id="36"/>
    <w:p>
      <w:pPr>
        <w:pStyle w:val="BodyText"/>
      </w:pPr>
      <w:r>
        <w:rPr>
          <w:bCs/>
          <w:b/>
        </w:rPr>
        <w:t xml:space="preserve">Document Classification:</w:t>
      </w:r>
      <w:r>
        <w:t xml:space="preserve"> </w:t>
      </w:r>
      <w:r>
        <w:t xml:space="preserve">Internal Strategic Planning |</w:t>
      </w:r>
      <w:r>
        <w:t xml:space="preserve"> </w:t>
      </w:r>
      <w:r>
        <w:rPr>
          <w:bCs/>
          <w:b/>
        </w:rPr>
        <w:t xml:space="preserve">Jurisdiction:</w:t>
      </w:r>
      <w:r>
        <w:t xml:space="preserve"> </w:t>
      </w:r>
      <w:r>
        <w:t xml:space="preserve">United States New York City |</w:t>
      </w:r>
      <w:r>
        <w:t xml:space="preserve"> </w:t>
      </w:r>
      <w:r>
        <w:rPr>
          <w:bCs/>
          <w:b/>
        </w:rPr>
        <w:t xml:space="preserve">Status:</w:t>
      </w:r>
      <w:r>
        <w:t xml:space="preserve"> </w:t>
      </w:r>
      <w:r>
        <w:t xml:space="preserve">Final Version |</w:t>
      </w:r>
      <w:r>
        <w:t xml:space="preserve"> </w:t>
      </w:r>
      <w:r>
        <w:rPr>
          <w:iCs/>
          <w:i/>
        </w:rPr>
        <w:t xml:space="preserve">All clinical references align with current American Academy of Ophthalmology guidelines and New York State regulatory frameworks.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Practice Project Report | United States New York City</dc:title>
  <dc:creator/>
  <dc:language>en</dc:language>
  <cp:keywords/>
  <dcterms:created xsi:type="dcterms:W3CDTF">2026-07-29T21:53:57Z</dcterms:created>
  <dcterms:modified xsi:type="dcterms:W3CDTF">2026-07-29T21:53:57Z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