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Optometrist</w:t>
      </w:r>
      <w:r>
        <w:t xml:space="preserve"> </w:t>
      </w:r>
      <w:r>
        <w:t xml:space="preserve">Services</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b46a0367725fba180e9b152e6bdef438e293240"/>
    <w:p>
      <w:pPr>
        <w:pStyle w:val="Heading1"/>
      </w:pPr>
      <w:r>
        <w:t xml:space="preserve">Project Report: Comprehensive Analysis of Optometrist Services in Australia, Melbourne</w:t>
      </w:r>
    </w:p>
    <w:p>
      <w:pPr>
        <w:pStyle w:val="FirstParagraph"/>
      </w:pPr>
      <w:r>
        <w:rPr>
          <w:bCs/>
          <w:b/>
        </w:rPr>
        <w:t xml:space="preserve">Date:</w:t>
      </w:r>
      <w:r>
        <w:t xml:space="preserve"> </w:t>
      </w:r>
      <w:r>
        <w:t xml:space="preserve">May 2024</w:t>
      </w:r>
      <w:r>
        <w:br/>
      </w:r>
      <w:r>
        <w:rPr>
          <w:bCs/>
          <w:b/>
        </w:rPr>
        <w:t xml:space="preserve">To:</w:t>
      </w:r>
      <w:r>
        <w:t xml:space="preserve"> </w:t>
      </w:r>
      <w:r>
        <w:t xml:space="preserve">Stakeholders and Health Policy Makers</w:t>
      </w:r>
      <w:r>
        <w:br/>
      </w:r>
      <w:r>
        <w:rPr>
          <w:bCs/>
          <w:b/>
        </w:rPr>
        <w:t xml:space="preserve">From:</w:t>
      </w:r>
      <w:r>
        <w:t xml:space="preserve"> </w:t>
      </w:r>
      <w:r>
        <w:t xml:space="preserve">Regional Health Research Division</w:t>
      </w:r>
      <w:r>
        <w:br/>
      </w:r>
    </w:p>
    <w:p>
      <w:r>
        <w:pict>
          <v:rect style="width:0;height:1.5pt" o:hralign="center" o:hrstd="t" o:hr="t"/>
        </w:pict>
      </w:r>
    </w:p>
    <w:bookmarkStart w:id="20" w:name="introduction"/>
    <w:p>
      <w:pPr>
        <w:pStyle w:val="Heading2"/>
      </w:pPr>
      <w:r>
        <w:t xml:space="preserve">1. Introduction and Strategic Context</w:t>
      </w:r>
    </w:p>
    <w:p>
      <w:pPr>
        <w:pStyle w:val="FirstParagraph"/>
      </w:pPr>
      <w:r>
        <w:t xml:space="preserve">The health infrastructure in Australia is globally recognized for its robustness, yet the specific demands of ophthalmic care continue to evolve rapidly. This project report provides a detailed examination of the current landscape of Optometrist services within Melbourne, Victoria. As the cultural capital and second-largest city in Australia, Melbourne presents a unique microcosm for analyzing healthcare delivery models. The focus on Optometrist capabilities is not merely clinical but encompasses significant socioeconomic factors including aging demographics, technological integration in eye care, and equitable access to primary health services across diverse communities.</w:t>
      </w:r>
    </w:p>
    <w:p>
      <w:pPr>
        <w:pStyle w:val="BodyText"/>
      </w:pPr>
      <w:r>
        <w:t xml:space="preserve">Melbourne's population is characterized by a high degree of diversity and a steadily increasing median age. These demographic shifts necessitate a rigorous review of how Optometrist practices are structured, regulated, and utilized by the public. This document aims to delineate the operational framework of eye care providers in Australia Melbourne, highlighting challenges and opportunities for improvement.</w:t>
      </w:r>
    </w:p>
    <w:bookmarkEnd w:id="20"/>
    <w:bookmarkStart w:id="21" w:name="scope"/>
    <w:p>
      <w:pPr>
        <w:pStyle w:val="Heading2"/>
      </w:pPr>
      <w:r>
        <w:t xml:space="preserve">2. Scope of Practice and Regulatory Framework</w:t>
      </w:r>
    </w:p>
    <w:p>
      <w:pPr>
        <w:pStyle w:val="FirstParagraph"/>
      </w:pPr>
      <w:r>
        <w:t xml:space="preserve">In Australia, Optometrists serve as primary healthcare practitioners for eye health. Their role extends significantly beyond routine vision testing to include the diagnosis and management of ocular diseases such as glaucoma, macular degeneration, and diabetic retinopathy. Within Melbourne, these professionals operate under strict guidelines established by the Optometry Board of Australia.</w:t>
      </w:r>
    </w:p>
    <w:p>
      <w:pPr>
        <w:pStyle w:val="BodyText"/>
      </w:pPr>
      <w:r>
        <w:t xml:space="preserve">The scope of practice in this region has expanded over the last decade. Modern Optometrists are increasingly equipped with advanced diagnostic technology that allows for early detection of systemic conditions reflected in ocular health. For instance, digital retinal imaging is now standard in many Melbourne clinics, facilitating earlier intervention for patients with diabetes or hypertension. This shift underscores the critical role of the Optometrist as a sentinel for general health within the Australian healthcare system.</w:t>
      </w:r>
    </w:p>
    <w:bookmarkEnd w:id="21"/>
    <w:bookmarkStart w:id="22" w:name="demographic-needs"/>
    <w:p>
      <w:pPr>
        <w:pStyle w:val="Heading2"/>
      </w:pPr>
      <w:r>
        <w:t xml:space="preserve">3. Demographic Drivers in Australia Melbourne</w:t>
      </w:r>
    </w:p>
    <w:p>
      <w:pPr>
        <w:pStyle w:val="FirstParagraph"/>
      </w:pPr>
      <w:r>
        <w:t xml:space="preserve">Understanding the specific needs of Melbourne's population is vital for contextualizing this report. The city faces distinct demographic pressures that directly influence Optometrist service delivery:</w:t>
      </w:r>
    </w:p>
    <w:p>
      <w:pPr>
        <w:numPr>
          <w:ilvl w:val="0"/>
          <w:numId w:val="1001"/>
        </w:numPr>
        <w:pStyle w:val="Compact"/>
      </w:pPr>
      <w:r>
        <w:rPr>
          <w:bCs/>
          <w:b/>
        </w:rPr>
        <w:t xml:space="preserve">Aging Population:</w:t>
      </w:r>
      <w:r>
        <w:t xml:space="preserve"> </w:t>
      </w:r>
      <w:r>
        <w:t xml:space="preserve">Like much of developed Australia, Melbourne has a significant proportion of seniors. Age-related macular degeneration (AMD) and cataracts are prevalent, requiring specialized management and frequent monitoring by qualified Optometrists.</w:t>
      </w:r>
    </w:p>
    <w:p>
      <w:pPr>
        <w:numPr>
          <w:ilvl w:val="0"/>
          <w:numId w:val="1001"/>
        </w:numPr>
        <w:pStyle w:val="Compact"/>
      </w:pPr>
      <w:r>
        <w:rPr>
          <w:bCs/>
          <w:b/>
        </w:rPr>
        <w:t xml:space="preserve">Multicultural Diversity:</w:t>
      </w:r>
      <w:r>
        <w:t xml:space="preserve"> </w:t>
      </w:r>
      <w:r>
        <w:t xml:space="preserve">Melbourne is one of the most multicultural cities in the world. This diversity presents communication barriers for non-English speaking patients. There is a critical need for culturally competent care, where language services and culturally sensitive approaches are integrated into Optometrist consultations.</w:t>
      </w:r>
    </w:p>
    <w:p>
      <w:pPr>
        <w:numPr>
          <w:ilvl w:val="0"/>
          <w:numId w:val="1001"/>
        </w:numPr>
        <w:pStyle w:val="Compact"/>
      </w:pPr>
      <w:r>
        <w:rPr>
          <w:bCs/>
          <w:b/>
        </w:rPr>
        <w:t xml:space="preserve">Socioeconomic Disparities:</w:t>
      </w:r>
      <w:r>
        <w:t xml:space="preserve"> </w:t>
      </w:r>
      <w:r>
        <w:t xml:space="preserve">Access to eye care varies significantly across Melbourne's suburbs. Inner-city areas generally have high concentrations of private practices, whereas outer suburban and rural-adjacent regions may suffer from "optometric deserts," where residents face long travel times to access specialized care.</w:t>
      </w:r>
    </w:p>
    <w:bookmarkEnd w:id="22"/>
    <w:bookmarkStart w:id="23" w:name="technological-integration"/>
    <w:p>
      <w:pPr>
        <w:pStyle w:val="Heading2"/>
      </w:pPr>
      <w:r>
        <w:t xml:space="preserve">4. Technological Integration and Innovation</w:t>
      </w:r>
    </w:p>
    <w:p>
      <w:pPr>
        <w:pStyle w:val="FirstParagraph"/>
      </w:pPr>
      <w:r>
        <w:t xml:space="preserve">The intersection of technology and healthcare is transforming the Optometrist profession in Australia Melbourne. The adoption of Artificial Intelligence (AI) in diagnostic tools represents a significant advancement. AI-assisted software can now analyze OCT (Optical Coherence Tomography) scans with high accuracy, aiding Optometrists in detecting subtle changes indicative of glaucoma or diabetic retinopathy.</w:t>
      </w:r>
    </w:p>
    <w:p>
      <w:pPr>
        <w:pStyle w:val="BodyText"/>
      </w:pPr>
      <w:r>
        <w:t xml:space="preserve">Furthermore, tele-optometry is emerging as a viable solution for remote consultations. While physical examinations remain irreplaceable for comprehensive eye exams, follow-up appointments and triage services are increasingly moving online. This digital transformation improves accessibility for Melburnians with mobility issues or those living in sprawling outer suburbs, thereby enhancing the overall efficiency of the healthcare network.</w:t>
      </w:r>
    </w:p>
    <w:bookmarkEnd w:id="23"/>
    <w:bookmarkStart w:id="24" w:name="financial-aspects"/>
    <w:p>
      <w:pPr>
        <w:pStyle w:val="Heading2"/>
      </w:pPr>
      <w:r>
        <w:t xml:space="preserve">5. Financial Implications and Medicare Access</w:t>
      </w:r>
    </w:p>
    <w:p>
      <w:pPr>
        <w:pStyle w:val="FirstParagraph"/>
      </w:pPr>
      <w:r>
        <w:t xml:space="preserve">Cost remains a pivotal factor in healthcare utilization. In Australia, the Medicare system provides rebates for eye services performed by Optometrists who are registered providers. However, gaps in funding persist. While basic bulk-billing is available for certain groups (such as pensioners or children), many adults face out-of-pocket costs for comprehensive eye exams and prescription lenses.</w:t>
      </w:r>
    </w:p>
    <w:p>
      <w:pPr>
        <w:pStyle w:val="BodyText"/>
      </w:pPr>
      <w:r>
        <w:t xml:space="preserve">Patient Group</w:t>
      </w:r>
    </w:p>
    <w:p>
      <w:pPr>
        <w:pStyle w:val="BodyText"/>
      </w:pPr>
      <w:r>
        <w:t xml:space="preserve">Average Out-of-Pocket Cost (AUD)</w:t>
      </w:r>
    </w:p>
    <w:p>
      <w:pPr>
        <w:pStyle w:val="BodyText"/>
      </w:pPr>
      <w:r>
        <w:t xml:space="preserve">Seniors Pensioners</w:t>
      </w:r>
    </w:p>
    <w:p>
      <w:pPr>
        <w:pStyle w:val="BodyText"/>
      </w:pPr>
      <w:r>
        <w:t xml:space="preserve">$0 - $20 (Bulk billed)</w:t>
      </w:r>
    </w:p>
    <w:p>
      <w:pPr>
        <w:pStyle w:val="BodyText"/>
      </w:pPr>
      <w:r>
        <w:t xml:space="preserve">&lt; tr &gt;&lt; td &gt;Children &amp; lt ; 18 years&amp; gt;&lt; td &gt;&amp; nbsp ; $ 25 - $45&lt; tr &gt;&lt; th &gt;General Adults&amp; lt /th&gt;</w:t>
      </w:r>
    </w:p>
    <w:p>
      <w:pPr>
        <w:pStyle w:val="BodyText"/>
      </w:pPr>
      <w:r>
        <w:t xml:space="preserve">$60-$100+</w:t>
      </w:r>
    </w:p>
    <w:p>
      <w:pPr>
        <w:pStyle w:val="BodyText"/>
      </w:pPr>
      <w:r>
        <w:t xml:space="preserve">Aged Care Residents</w:t>
      </w:r>
    </w:p>
    <w:p>
      <w:pPr>
        <w:pStyle w:val="BodyText"/>
      </w:pPr>
      <w:r>
        <w:t xml:space="preserve">Varies (Often subsidized)</w:t>
      </w:r>
    </w:p>
    <w:p>
      <w:pPr>
        <w:pStyle w:val="BodyText"/>
      </w:pPr>
      <w:r>
        <w:t xml:space="preserve">This disparity impacts health outcomes. Patients who delay care due to cost often present with more advanced conditions, placing a higher burden on the hospital-based ophthalmology services in Melbourne. Addressing these financial barriers is essential for maintaining public health standards.</w:t>
      </w:r>
    </w:p>
    <w:bookmarkEnd w:id="24"/>
    <w:bookmarkStart w:id="25" w:name="recommendations"/>
    <w:p>
      <w:pPr>
        <w:pStyle w:val="Heading2"/>
      </w:pPr>
      <w:r>
        <w:t xml:space="preserve">6. Recommendations and Future Outlook</w:t>
      </w:r>
    </w:p>
    <w:p>
      <w:pPr>
        <w:pStyle w:val="FirstParagraph"/>
      </w:pPr>
      <w:r>
        <w:t xml:space="preserve">Based on the analysis of current trends and challenges in Australia Melbourne, several strategic recommendations are proposed:</w:t>
      </w:r>
    </w:p>
    <w:p>
      <w:pPr>
        <w:numPr>
          <w:ilvl w:val="0"/>
          <w:numId w:val="1002"/>
        </w:numPr>
        <w:pStyle w:val="Compact"/>
      </w:pPr>
      <w:r>
        <w:rPr>
          <w:bCs/>
          <w:b/>
        </w:rPr>
        <w:t xml:space="preserve">Enhanced Telehealth Infrastructure:</w:t>
      </w:r>
      <w:r>
        <w:t xml:space="preserve">The government should invest in expanding Medicare telehealth rebates specifically for Optometrists to facilitate remote monitoring of chronic eye conditions.</w:t>
      </w:r>
    </w:p>
    <w:p>
      <w:pPr>
        <w:numPr>
          <w:ilvl w:val="0"/>
          <w:numId w:val="1002"/>
        </w:numPr>
        <w:pStyle w:val="Compact"/>
      </w:pPr>
      <w:r>
        <w:rPr>
          <w:bCs/>
          <w:b/>
        </w:rPr>
        <w:t xml:space="preserve">Multicultural Outreach Programs:</w:t>
      </w:r>
      <w:r>
        <w:t xml:space="preserve">Clinics should be incentivized to provide professional interpretation services and multilingual educational materials to cater to Melbourne's diverse population effectively.</w:t>
      </w:r>
    </w:p>
    <w:p>
      <w:pPr>
        <w:numPr>
          <w:ilvl w:val="0"/>
          <w:numId w:val="1002"/>
        </w:numPr>
        <w:pStyle w:val="Compact"/>
      </w:pPr>
      <w:r>
        <w:rPr>
          <w:bCs/>
          <w:b/>
        </w:rPr>
        <w:t xml:space="preserve">Rural Access Incentives:</w:t>
      </w:r>
      <w:r>
        <w:t xml:space="preserve">To combat optometric deserts, policy interventions such as loan forgiveness or tax incentives could encourage Optometrists to practice in underserved areas surrounding Melbourne.</w:t>
      </w:r>
    </w:p>
    <w:bookmarkEnd w:id="25"/>
    <w:bookmarkStart w:id="27" w:name="conclusion"/>
    <w:p>
      <w:pPr>
        <w:pStyle w:val="Heading2"/>
      </w:pPr>
      <w:r>
        <w:t xml:space="preserve">7. Conclusion</w:t>
      </w:r>
    </w:p>
    <w:p>
      <w:pPr>
        <w:pStyle w:val="FirstParagraph"/>
      </w:pPr>
      <w:r>
        <w:t xml:space="preserve">The role of the Optometrist in Australia Melbourne is foundational to public health. As primary eye care providers, they bridge the gap between general wellness and specialized ophthalmic treatment. The convergence of an aging population, technological innovation, and socioeconomic diversity creates a complex environment that requires adaptive healthcare strategies.</w:t>
      </w:r>
    </w:p>
    <w:p>
      <w:pPr>
        <w:pStyle w:val="BodyText"/>
      </w:pPr>
      <w:r>
        <w:t xml:space="preserve">By ensuring equitable access through financial support mechanisms and embracing digital advancements, Melbourne can maintain its status as a leader in public health delivery. Continued collaboration between policymakers, healthcare providers is essential to sustain the quality and accessibility of Optometrist services for all Australians in this vibrant city.</w:t>
      </w:r>
    </w:p>
    <w:p>
      <w:r>
        <w:pict>
          <v:rect style="width:0;height:1.5pt" o:hralign="center" o:hrstd="t" o:hr="t"/>
        </w:pict>
      </w:r>
    </w:p>
    <w:bookmarkStart w:id="26" w:name="end-of-report"/>
    <w:p>
      <w:pPr>
        <w:pStyle w:val="Heading4"/>
      </w:pPr>
      <w:r>
        <w:t xml:space="preserve">End of Report</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Optometrist Services in Australia Melbourne</dc:title>
  <dc:creator/>
  <dc:language>en</dc:language>
  <cp:keywords/>
  <dcterms:created xsi:type="dcterms:W3CDTF">2026-07-29T10:30:47Z</dcterms:created>
  <dcterms:modified xsi:type="dcterms:W3CDTF">2026-07-29T10:30:47Z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