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Optometric</w:t>
      </w:r>
      <w:r>
        <w:t xml:space="preserve"> </w:t>
      </w:r>
      <w:r>
        <w:t xml:space="preserve">Clinic</w:t>
      </w:r>
      <w:r>
        <w:t xml:space="preserve"> </w:t>
      </w:r>
      <w:r>
        <w:t xml:space="preserve">in</w:t>
      </w:r>
      <w:r>
        <w:t xml:space="preserve"> </w:t>
      </w:r>
      <w:r>
        <w:t xml:space="preserve">Canada,</w:t>
      </w:r>
      <w:r>
        <w:t xml:space="preserve"> </w:t>
      </w:r>
      <w:r>
        <w:t xml:space="preserve">Montreal</w:t>
      </w:r>
    </w:p>
    <w:bookmarkStart w:id="20" w:name="project-report"/>
    <w:p>
      <w:pPr>
        <w:pStyle w:val="Heading1"/>
      </w:pPr>
      <w:r>
        <w:t xml:space="preserve">Project Report</w:t>
      </w:r>
    </w:p>
    <w:p>
      <w:pPr>
        <w:pStyle w:val="FirstParagraph"/>
      </w:pPr>
      <w:r>
        <w:rPr>
          <w:bCs/>
          <w:b/>
        </w:rPr>
        <w:t xml:space="preserve">Date:</w:t>
      </w:r>
      <w:r>
        <w:t xml:space="preserve"> </w:t>
      </w:r>
      <w:r>
        <w:t xml:space="preserve">May 24, 2024</w:t>
      </w:r>
    </w:p>
    <w:p>
      <w:pPr>
        <w:pStyle w:val="BodyText"/>
      </w:pPr>
      <w:r>
        <w:br/>
      </w:r>
    </w:p>
    <w:p>
      <w:pPr>
        <w:pStyle w:val="BodyText"/>
      </w:pPr>
      <w:r>
        <w:rPr>
          <w:bCs/>
          <w:b/>
        </w:rPr>
        <w:t xml:space="preserve">To:</w:t>
      </w:r>
      <w:r>
        <w:br/>
      </w:r>
      <w:r>
        <w:t xml:space="preserve">From: Project Management Office</w:t>
      </w:r>
      <w:r>
        <w:br/>
      </w:r>
      <w:r>
        <w:br/>
      </w:r>
      <w:r>
        <w:t xml:space="preserve">Subject: Strategic Implementation of an Optometrist Practice in Canada, Montreal</w:t>
      </w:r>
    </w:p>
    <w:bookmarkEnd w:id="20"/>
    <w:bookmarkStart w:id="21" w:name="executive-summary"/>
    <w:p>
      <w:pPr>
        <w:pStyle w:val="Heading2"/>
      </w:pPr>
      <w:r>
        <w:t xml:space="preserve">1. Executive Summary</w:t>
      </w:r>
    </w:p>
    <w:p>
      <w:pPr>
        <w:pStyle w:val="FirstParagraph"/>
      </w:pPr>
      <w:r>
        <w:t xml:space="preserve">This Project Report outlines the strategic plan, operational framework, and market analysis for the establishment of a state-of-the-art optometric clinic located in</w:t>
      </w:r>
      <w:r>
        <w:t xml:space="preserve"> </w:t>
      </w:r>
      <w:r>
        <w:rPr>
          <w:bCs/>
          <w:b/>
        </w:rPr>
        <w:t xml:space="preserve">Canada</w:t>
      </w:r>
      <w:r>
        <w:t xml:space="preserve">, specifically within the metropolitan hub of</w:t>
      </w:r>
      <w:r>
        <w:t xml:space="preserve"> </w:t>
      </w:r>
      <w:r>
        <w:rPr>
          <w:bCs/>
          <w:b/>
        </w:rPr>
        <w:t xml:space="preserve">Montreal</w:t>
      </w:r>
      <w:r>
        <w:t xml:space="preserve">. As vision care remains an essential component of public health, this project aims to deliver high-quality ophthalmic services to a diverse demographic. The proposed facility will leverage advanced diagnostic technology and culturally competent care models tailored to the unique linguistic and social dynamics of</w:t>
      </w:r>
      <w:r>
        <w:t xml:space="preserve"> </w:t>
      </w:r>
      <w:r>
        <w:rPr>
          <w:bCs/>
          <w:b/>
        </w:rPr>
        <w:t xml:space="preserve">Montreal</w:t>
      </w:r>
      <w:r>
        <w:t xml:space="preserve">. By adhering to the regulatory standards set forth by provincial bodies in</w:t>
      </w:r>
      <w:r>
        <w:t xml:space="preserve"> </w:t>
      </w:r>
      <w:r>
        <w:rPr>
          <w:bCs/>
          <w:b/>
        </w:rPr>
        <w:t xml:space="preserve">Canada</w:t>
      </w:r>
      <w:r>
        <w:t xml:space="preserve">, this initiative seeks to bridge gaps in accessibility while maintaining financial sustainability.</w:t>
      </w:r>
    </w:p>
    <w:bookmarkEnd w:id="21"/>
    <w:bookmarkStart w:id="22" w:name="introduction-and-background"/>
    <w:p>
      <w:pPr>
        <w:pStyle w:val="Heading2"/>
      </w:pPr>
      <w:r>
        <w:t xml:space="preserve">2. Introduction and Background</w:t>
      </w:r>
    </w:p>
    <w:p>
      <w:pPr>
        <w:pStyle w:val="FirstParagraph"/>
      </w:pPr>
      <w:r>
        <w:t xml:space="preserve">Vision health is often overlooked until significant deterioration occurs, making proactive care critical. In recent years, the demand for specialized optometric services has surged due to increased screen time among adults and children, an aging population susceptible to age-related macular degeneration and glaucoma, and a growing awareness of eye health as part of overall wellness.</w:t>
      </w:r>
      <w:r>
        <w:t xml:space="preserve"> </w:t>
      </w:r>
      <w:r>
        <w:rPr>
          <w:bCs/>
          <w:b/>
        </w:rPr>
        <w:t xml:space="preserve">Montreal</w:t>
      </w:r>
      <w:r>
        <w:t xml:space="preserve">, being the largest city in the province of Quebec and a major cultural center in</w:t>
      </w:r>
      <w:r>
        <w:t xml:space="preserve"> </w:t>
      </w:r>
      <w:r>
        <w:rPr>
          <w:bCs/>
          <w:b/>
        </w:rPr>
        <w:t xml:space="preserve">Canada</w:t>
      </w:r>
      <w:r>
        <w:t xml:space="preserve">, presents a unique opportunity for such an enterprise.</w:t>
      </w:r>
    </w:p>
    <w:p>
      <w:pPr>
        <w:pStyle w:val="BodyText"/>
      </w:pPr>
      <w:r>
        <w:t xml:space="preserve">The primary objective of this project is to create an inclusive, bilingual (French and English) optometric practice that not only provides standard eye examinations but also serves as a community health hub. The focus is on integrating medical optometry with aesthetic vision care, ensuring comprehensive service offerings that appeal to a broad spectrum of patients in</w:t>
      </w:r>
      <w:r>
        <w:t xml:space="preserve"> </w:t>
      </w:r>
      <w:r>
        <w:rPr>
          <w:bCs/>
          <w:b/>
        </w:rPr>
        <w:t xml:space="preserve">Canada</w:t>
      </w:r>
      <w:r>
        <w:t xml:space="preserve">.</w:t>
      </w:r>
    </w:p>
    <w:bookmarkEnd w:id="22"/>
    <w:bookmarkStart w:id="25" w:name="market-analysis-the-montreal-context"/>
    <w:p>
      <w:pPr>
        <w:pStyle w:val="Heading2"/>
      </w:pPr>
      <w:r>
        <w:t xml:space="preserve">3. Market Analysis: The Montreal Context</w:t>
      </w:r>
    </w:p>
    <w:bookmarkStart w:id="23" w:name="demographic-landscape"/>
    <w:p>
      <w:pPr>
        <w:pStyle w:val="Heading3"/>
      </w:pPr>
      <w:r>
        <w:t xml:space="preserve">3.1 Demographic Landscape</w:t>
      </w:r>
    </w:p>
    <w:p>
      <w:pPr>
        <w:pStyle w:val="FirstParagraph"/>
      </w:pPr>
      <w:r>
        <w:br/>
      </w:r>
    </w:p>
    <w:p>
      <w:pPr>
        <w:pStyle w:val="BodyText"/>
      </w:pPr>
      <w:r>
        <w:rPr>
          <w:bCs/>
          <w:b/>
        </w:rPr>
        <w:t xml:space="preserve">Montreal</w:t>
      </w:r>
      <w:r>
        <w:t xml:space="preserve">, the heart of this project, boasts a highly diverse population with distinct linguistic needs. Approximately 65-70% of residents are Francophone, while a significant portion speaks English or other languages due to immigration from across</w:t>
      </w:r>
      <w:r>
        <w:t xml:space="preserve"> </w:t>
      </w:r>
      <w:r>
        <w:rPr>
          <w:bCs/>
          <w:b/>
        </w:rPr>
        <w:t xml:space="preserve">Canada</w:t>
      </w:r>
      <w:r>
        <w:t xml:space="preserve"> </w:t>
      </w:r>
      <w:r>
        <w:t xml:space="preserve">and around the world. Therefore, operational success in</w:t>
      </w:r>
      <w:r>
        <w:t xml:space="preserve"> </w:t>
      </w:r>
      <w:r>
        <w:rPr>
          <w:bCs/>
          <w:b/>
        </w:rPr>
        <w:t xml:space="preserve">Montreal</w:t>
      </w:r>
      <w:r>
        <w:t xml:space="preserve"> </w:t>
      </w:r>
      <w:r>
        <w:t xml:space="preserve">hinges on bilingual staff and marketing materials that resonate with both communities. The city’s density ensures a high foot-traffic potential for walk-in clinics, particularly in boroughs like Plateau-Mont-Royal and downtown Montreal.</w:t>
      </w:r>
    </w:p>
    <w:bookmarkEnd w:id="23"/>
    <w:bookmarkStart w:id="24" w:name="competitive-landscape"/>
    <w:p>
      <w:pPr>
        <w:pStyle w:val="Heading3"/>
      </w:pPr>
      <w:r>
        <w:t xml:space="preserve">3.2 Competitive Landscape</w:t>
      </w:r>
    </w:p>
    <w:p>
      <w:pPr>
        <w:pStyle w:val="FirstParagraph"/>
      </w:pPr>
      <w:r>
        <w:br/>
      </w:r>
    </w:p>
    <w:p>
      <w:pPr>
        <w:pStyle w:val="BodyText"/>
      </w:pPr>
      <w:r>
        <w:t xml:space="preserve">The optometry market in</w:t>
      </w:r>
      <w:r>
        <w:t xml:space="preserve"> </w:t>
      </w:r>
      <w:r>
        <w:rPr>
          <w:bCs/>
          <w:b/>
        </w:rPr>
        <w:t xml:space="preserve">Montreal</w:t>
      </w:r>
      <w:r>
        <w:t xml:space="preserve"> </w:t>
      </w:r>
      <w:r>
        <w:t xml:space="preserve">is competitive but fragmented. While large retail chains exist, there is a noticeable gap for premium, patient-centric clinics that prioritize extended consultation times and advanced diagnostics like OCT (Optical Coherence Tomography) and wide-field retinal imaging. Many existing providers in</w:t>
      </w:r>
      <w:r>
        <w:t xml:space="preserve"> </w:t>
      </w:r>
      <w:r>
        <w:rPr>
          <w:bCs/>
          <w:b/>
        </w:rPr>
        <w:t xml:space="preserve">Canada</w:t>
      </w:r>
      <w:r>
        <w:t xml:space="preserve"> </w:t>
      </w:r>
      <w:r>
        <w:t xml:space="preserve">struggle with long wait times; this project aims to differentiate itself through efficient appointment scheduling systems and immediate access technology.</w:t>
      </w:r>
    </w:p>
    <w:bookmarkEnd w:id="24"/>
    <w:bookmarkEnd w:id="25"/>
    <w:bookmarkStart w:id="29" w:name="operational-strategy"/>
    <w:p>
      <w:pPr>
        <w:pStyle w:val="Heading2"/>
      </w:pPr>
      <w:r>
        <w:t xml:space="preserve">4. Operational Strategy</w:t>
      </w:r>
    </w:p>
    <w:p>
      <w:pPr>
        <w:pStyle w:val="FirstParagraph"/>
      </w:pPr>
      <w:r>
        <w:br/>
      </w:r>
    </w:p>
    <w:p>
      <w:pPr>
        <w:pStyle w:val="BodyText"/>
      </w:pPr>
      <w:r>
        <w:t xml:space="preserve">The operational model for this optometrist practice is designed for efficiency, compliance, and exceptional patient experience.</w:t>
      </w:r>
    </w:p>
    <w:p>
      <w:pPr>
        <w:pStyle w:val="BodyText"/>
      </w:pPr>
      <w:r>
        <w:br/>
      </w:r>
    </w:p>
    <w:bookmarkStart w:id="26" w:name="regulatory-compliance-in-canada"/>
    <w:p>
      <w:pPr>
        <w:pStyle w:val="Heading3"/>
      </w:pPr>
      <w:r>
        <w:t xml:space="preserve">4.1 Regulatory Compliance in Canada</w:t>
      </w:r>
    </w:p>
    <w:p>
      <w:pPr>
        <w:pStyle w:val="FirstParagraph"/>
      </w:pPr>
      <w:r>
        <w:br/>
      </w:r>
    </w:p>
    <w:p>
      <w:pPr>
        <w:pStyle w:val="BodyText"/>
      </w:pPr>
      <w:r>
        <w:t xml:space="preserve">In</w:t>
      </w:r>
      <w:r>
        <w:t xml:space="preserve"> </w:t>
      </w:r>
      <w:r>
        <w:rPr>
          <w:bCs/>
          <w:b/>
        </w:rPr>
        <w:t xml:space="preserve">Canada</w:t>
      </w:r>
      <w:r>
        <w:t xml:space="preserve">, the practice of optometry is regulated provincially. In Quebec, the</w:t>
      </w:r>
      <w:r>
        <w:t xml:space="preserve"> </w:t>
      </w:r>
      <w:r>
        <w:rPr>
          <w:iCs/>
          <w:i/>
        </w:rPr>
        <w:t xml:space="preserve">Ordre des optométristes du Québec (OOQ)</w:t>
      </w:r>
      <w:r>
        <w:t xml:space="preserve"> </w:t>
      </w:r>
      <w:r>
        <w:t xml:space="preserve">sets strict standards for licensure and ethical conduct. All practitioners at this clinic must hold current registration with the OOQ and possess valid liability insurance. The facility will undergo regular audits to ensure compliance with privacy laws, specifically respecting both federal PIPEDA (Personal Information Protection and Electronic Documents Act) regulations applicable in</w:t>
      </w:r>
      <w:r>
        <w:t xml:space="preserve"> </w:t>
      </w:r>
      <w:r>
        <w:rPr>
          <w:bCs/>
          <w:b/>
        </w:rPr>
        <w:t xml:space="preserve">Canada</w:t>
      </w:r>
      <w:r>
        <w:t xml:space="preserve"> </w:t>
      </w:r>
      <w:r>
        <w:t xml:space="preserve">and Quebec’s specific health information privacy codes.</w:t>
      </w:r>
    </w:p>
    <w:p>
      <w:pPr>
        <w:pStyle w:val="BodyText"/>
      </w:pPr>
      <w:r>
        <w:br/>
      </w:r>
    </w:p>
    <w:bookmarkEnd w:id="26"/>
    <w:bookmarkStart w:id="27" w:name="staffing-requirements"/>
    <w:p>
      <w:pPr>
        <w:pStyle w:val="Heading3"/>
      </w:pPr>
      <w:r>
        <w:t xml:space="preserve">4.2 Staffing Requirements</w:t>
      </w:r>
    </w:p>
    <w:p>
      <w:pPr>
        <w:pStyle w:val="FirstParagraph"/>
      </w:pPr>
      <w:r>
        <w:br/>
      </w:r>
    </w:p>
    <w:p>
      <w:pPr>
        <w:pStyle w:val="BodyText"/>
      </w:pPr>
      <w:r>
        <w:t xml:space="preserve">A core team will include licensed optometrists, optometric technicians, and administrative staff fluent in both French and English. Given the multicultural nature of</w:t>
      </w:r>
      <w:r>
        <w:t xml:space="preserve"> </w:t>
      </w:r>
      <w:r>
        <w:rPr>
          <w:bCs/>
          <w:b/>
        </w:rPr>
        <w:t xml:space="preserve">Montreal</w:t>
      </w:r>
      <w:r>
        <w:t xml:space="preserve">, additional language capabilities (such as Spanish, Arabic, or Mandarin) will be considered an asset for front-desk personnel to enhance customer service.</w:t>
      </w:r>
    </w:p>
    <w:p>
      <w:pPr>
        <w:pStyle w:val="BodyText"/>
      </w:pPr>
      <w:r>
        <w:br/>
      </w:r>
    </w:p>
    <w:bookmarkEnd w:id="27"/>
    <w:bookmarkStart w:id="28" w:name="technology-infrastructure"/>
    <w:p>
      <w:pPr>
        <w:pStyle w:val="Heading3"/>
      </w:pPr>
      <w:r>
        <w:t xml:space="preserve">4.3 Technology Infrastructure</w:t>
      </w:r>
    </w:p>
    <w:p>
      <w:pPr>
        <w:pStyle w:val="FirstParagraph"/>
      </w:pPr>
      <w:r>
        <w:br/>
      </w:r>
    </w:p>
    <w:p>
      <w:pPr>
        <w:pStyle w:val="BodyText"/>
      </w:pPr>
      <w:r>
        <w:t xml:space="preserve">The clinic will invest in cutting-edge diagnostic equipment. Key technologies include:</w:t>
      </w:r>
    </w:p>
    <w:p>
      <w:pPr>
        <w:numPr>
          <w:ilvl w:val="0"/>
          <w:numId w:val="1001"/>
        </w:numPr>
        <w:pStyle w:val="Compact"/>
      </w:pPr>
      <w:r>
        <w:t xml:space="preserve">Digital Retinal Cameras for early detection of diabetic retinopathy and glaucoma.</w:t>
      </w:r>
    </w:p>
    <w:p>
      <w:pPr>
        <w:numPr>
          <w:ilvl w:val="0"/>
          <w:numId w:val="1001"/>
        </w:numPr>
        <w:pStyle w:val="Compact"/>
      </w:pPr>
      <w:r>
        <w:t xml:space="preserve">Automated Refractors for precise prescription mapping.</w:t>
      </w:r>
    </w:p>
    <w:p>
      <w:pPr>
        <w:numPr>
          <w:ilvl w:val="0"/>
          <w:numId w:val="1001"/>
        </w:numPr>
        <w:pStyle w:val="Compact"/>
      </w:pPr>
      <w:r>
        <w:t xml:space="preserve">OCT Scanners for detailed cross-sectional imaging of the retina and optic nerve.</w:t>
      </w:r>
    </w:p>
    <w:p>
      <w:pPr>
        <w:pStyle w:val="FirstParagraph"/>
      </w:pPr>
      <w:r>
        <w:br/>
      </w:r>
    </w:p>
    <w:p>
      <w:pPr>
        <w:pStyle w:val="BodyText"/>
      </w:pPr>
      <w:r>
        <w:t xml:space="preserve">This technological edge ensures that the optometrist can provide diagnoses comparable to ophthalmologists, thereby improving referral accuracy and patient trust within the Canadian healthcare ecosystem.</w:t>
      </w:r>
    </w:p>
    <w:p>
      <w:pPr>
        <w:pStyle w:val="BodyText"/>
      </w:pPr>
      <w:r>
        <w:br/>
      </w:r>
    </w:p>
    <w:bookmarkEnd w:id="28"/>
    <w:bookmarkEnd w:id="29"/>
    <w:bookmarkStart w:id="30" w:name="marketing-and-outreach"/>
    <w:p>
      <w:pPr>
        <w:pStyle w:val="Heading2"/>
      </w:pPr>
      <w:r>
        <w:t xml:space="preserve">5. Marketing and Outreach</w:t>
      </w:r>
    </w:p>
    <w:p>
      <w:pPr>
        <w:pStyle w:val="FirstParagraph"/>
      </w:pPr>
      <w:r>
        <w:br/>
      </w:r>
    </w:p>
    <w:p>
      <w:pPr>
        <w:pStyle w:val="BodyText"/>
      </w:pPr>
      <w:r>
        <w:t xml:space="preserve">The marketing strategy for this project focuses on building brand awareness in</w:t>
      </w:r>
      <w:r>
        <w:t xml:space="preserve"> </w:t>
      </w:r>
      <w:r>
        <w:rPr>
          <w:bCs/>
          <w:b/>
        </w:rPr>
        <w:t xml:space="preserve">Montreal</w:t>
      </w:r>
      <w:r>
        <w:t xml:space="preserve"> </w:t>
      </w:r>
      <w:r>
        <w:t xml:space="preserve">through community engagement and digital presence. Key initiatives include:</w:t>
      </w:r>
    </w:p>
    <w:p>
      <w:pPr>
        <w:numPr>
          <w:ilvl w:val="0"/>
          <w:numId w:val="1002"/>
        </w:numPr>
        <w:pStyle w:val="Compact"/>
      </w:pPr>
      <w:r>
        <w:rPr>
          <w:bCs/>
          <w:b/>
        </w:rPr>
        <w:t xml:space="preserve">Bilingual Campaigns:</w:t>
      </w:r>
      <w:r>
        <w:t xml:space="preserve">Montreal.</w:t>
      </w:r>
    </w:p>
    <w:p>
      <w:pPr>
        <w:numPr>
          <w:ilvl w:val="0"/>
          <w:numId w:val="1002"/>
        </w:numPr>
        <w:pStyle w:val="Compact"/>
      </w:pPr>
      <w:r>
        <w:t xml:space="preserve">&lt; strong&gt;School Partnerships:</w:t>
      </w:r>
    </w:p>
    <w:p>
      <w:pPr>
        <w:numPr>
          <w:ilvl w:val="0"/>
          <w:numId w:val="1002"/>
        </w:numPr>
        <w:pStyle w:val="Compact"/>
      </w:pPr>
      <w:r>
        <w:rPr>
          <w:bCs/>
          <w:b/>
        </w:rPr>
        <w:t xml:space="preserve">Digital Health Integration:</w:t>
      </w:r>
      <w:r>
        <w:t xml:space="preserve">Canada.</w:t>
      </w:r>
    </w:p>
    <w:p>
      <w:pPr>
        <w:numPr>
          <w:ilvl w:val="0"/>
          <w:numId w:val="1002"/>
        </w:numPr>
        <w:pStyle w:val="Compact"/>
      </w:pPr>
      <w:r>
        <w:rPr>
          <w:bCs/>
          <w:b/>
        </w:rPr>
        <w:t xml:space="preserve">Loyalty Programs:</w:t>
      </w:r>
    </w:p>
    <w:p>
      <w:pPr>
        <w:pStyle w:val="FirstParagraph"/>
      </w:pPr>
      <w:r>
        <w:br/>
      </w:r>
    </w:p>
    <w:bookmarkEnd w:id="30"/>
    <w:bookmarkStart w:id="31" w:name="financial-projections-and-sustainability"/>
    <w:p>
      <w:pPr>
        <w:pStyle w:val="Heading2"/>
      </w:pPr>
      <w:r>
        <w:t xml:space="preserve">6. Financial Projections and Sustainability</w:t>
      </w:r>
    </w:p>
    <w:p>
      <w:pPr>
        <w:pStyle w:val="FirstParagraph"/>
      </w:pPr>
      <w:r>
        <w:br/>
      </w:r>
    </w:p>
    <w:p>
      <w:pPr>
        <w:pStyle w:val="BodyText"/>
      </w:pPr>
      <w:r>
        <w:t xml:space="preserve">The financial model assumes a break-even point within the first 18 months of operation. Revenue streams will be diversified through:</w:t>
      </w:r>
    </w:p>
    <w:p>
      <w:pPr>
        <w:numPr>
          <w:ilvl w:val="0"/>
          <w:numId w:val="1003"/>
        </w:numPr>
        <w:pStyle w:val="Compact"/>
      </w:pPr>
      <w:r>
        <w:rPr>
          <w:bCs/>
          <w:b/>
        </w:rPr>
        <w:t xml:space="preserve">Clinic Visits:</w:t>
      </w:r>
    </w:p>
    <w:p>
      <w:pPr>
        <w:numPr>
          <w:ilvl w:val="0"/>
          <w:numId w:val="1003"/>
        </w:numPr>
        <w:pStyle w:val="Compact"/>
      </w:pPr>
      <w:r>
        <w:rPr>
          <w:bCs/>
          <w:b/>
        </w:rPr>
        <w:t xml:space="preserve">Sales of Optical Products:</w:t>
      </w:r>
    </w:p>
    <w:p>
      <w:pPr>
        <w:numPr>
          <w:ilvl w:val="0"/>
          <w:numId w:val="1003"/>
        </w:numPr>
        <w:pStyle w:val="Compact"/>
      </w:pPr>
      <w:r>
        <w:rPr>
          <w:bCs/>
          <w:b/>
        </w:rPr>
        <w:t xml:space="preserve">Treatment Plans:</w:t>
      </w:r>
    </w:p>
    <w:p>
      <w:pPr>
        <w:pStyle w:val="FirstParagraph"/>
      </w:pPr>
      <w:r>
        <w:br/>
      </w:r>
    </w:p>
    <w:p>
      <w:pPr>
        <w:pStyle w:val="BodyText"/>
      </w:pPr>
      <w:r>
        <w:t xml:space="preserve">Operational costs in</w:t>
      </w:r>
      <w:r>
        <w:t xml:space="preserve"> </w:t>
      </w:r>
      <w:r>
        <w:rPr>
          <w:bCs/>
          <w:b/>
        </w:rPr>
        <w:t xml:space="preserve">Montreal</w:t>
      </w:r>
      <w:r>
        <w:t xml:space="preserve">, including rent and labor, are substantial but manageable with high-volume patient throughput. The project emphasizes sustainable growth by reinvesting profits into staff training and equipment upgrades.</w:t>
      </w:r>
    </w:p>
    <w:p>
      <w:pPr>
        <w:pStyle w:val="BodyText"/>
      </w:pPr>
      <w:r>
        <w:br/>
      </w:r>
    </w:p>
    <w:bookmarkEnd w:id="31"/>
    <w:bookmarkStart w:id="32" w:name="risk-management"/>
    <w:p>
      <w:pPr>
        <w:pStyle w:val="Heading2"/>
      </w:pPr>
      <w:r>
        <w:t xml:space="preserve">7. Risk Management</w:t>
      </w:r>
    </w:p>
    <w:p>
      <w:pPr>
        <w:pStyle w:val="FirstParagraph"/>
      </w:pPr>
      <w:r>
        <w:br/>
      </w:r>
    </w:p>
    <w:p>
      <w:pPr>
        <w:pStyle w:val="BodyText"/>
      </w:pPr>
      <w:r>
        <w:t xml:space="preserve">Potential risks include regulatory changes in</w:t>
      </w:r>
      <w:r>
        <w:t xml:space="preserve"> </w:t>
      </w:r>
      <w:r>
        <w:rPr>
          <w:bCs/>
          <w:b/>
        </w:rPr>
        <w:t xml:space="preserve">Canada</w:t>
      </w:r>
      <w:r>
        <w:t xml:space="preserve"> </w:t>
      </w:r>
      <w:r>
        <w:t xml:space="preserve">regarding reimbursement for optometric services, fluctuations in supply chain costs for optical frames, and competition from large retail chains. Mitigation strategies involve maintaining strong relationships with private insurance providers (such as Sun Life and Manulife) to ensure smooth billing processes. Additionally, diversifying suppliers mitigates supply chain disruptions.</w:t>
      </w:r>
    </w:p>
    <w:p>
      <w:pPr>
        <w:pStyle w:val="BodyText"/>
      </w:pPr>
      <w:r>
        <w:br/>
      </w:r>
    </w:p>
    <w:bookmarkEnd w:id="32"/>
    <w:bookmarkStart w:id="33" w:name="conclusion"/>
    <w:p>
      <w:pPr>
        <w:pStyle w:val="Heading2"/>
      </w:pPr>
      <w:r>
        <w:t xml:space="preserve">8. Conclusion</w:t>
      </w:r>
    </w:p>
    <w:p>
      <w:pPr>
        <w:pStyle w:val="FirstParagraph"/>
      </w:pPr>
      <w:r>
        <w:br/>
      </w:r>
    </w:p>
    <w:p>
      <w:pPr>
        <w:pStyle w:val="BodyText"/>
      </w:pPr>
      <w:r>
        <w:t xml:space="preserve">The establishment of this optometric clinic in</w:t>
      </w:r>
      <w:r>
        <w:t xml:space="preserve"> </w:t>
      </w:r>
      <w:r>
        <w:rPr>
          <w:bCs/>
          <w:b/>
        </w:rPr>
        <w:t xml:space="preserve">Montreal</w:t>
      </w:r>
      <w:r>
        <w:t xml:space="preserve">,</w:t>
      </w:r>
      <w:r>
        <w:t xml:space="preserve"> </w:t>
      </w:r>
      <w:r>
        <w:rPr>
          <w:bCs/>
          <w:b/>
        </w:rPr>
        <w:t xml:space="preserve">Canada</w:t>
      </w:r>
      <w:r>
        <w:t xml:space="preserve">, represents a timely and necessary expansion of vision care services. By combining advanced technology, bilingual cultural competence, and rigorous regulatory adherence, the project is well-positioned to become a leader in the local healthcare sector. This initiative not only promises financial viability but also contributes significantly to public health outcomes in Quebec and across</w:t>
      </w:r>
      <w:r>
        <w:t xml:space="preserve"> </w:t>
      </w:r>
      <w:r>
        <w:rPr>
          <w:bCs/>
          <w:b/>
        </w:rPr>
        <w:t xml:space="preserve">Canada</w:t>
      </w:r>
      <w:r>
        <w:t xml:space="preserve">. We recommend proceeding with site selection and licensing applications immediately.</w:t>
      </w:r>
    </w:p>
    <w:p>
      <w:pPr>
        <w:pStyle w:val="BodyText"/>
      </w:pPr>
      <w:r>
        <w:br/>
      </w:r>
    </w:p>
    <w:bookmarkEnd w:id="33"/>
    <w:bookmarkStart w:id="34" w:name="recommendations"/>
    <w:p>
      <w:pPr>
        <w:pStyle w:val="Heading2"/>
      </w:pPr>
      <w:r>
        <w:t xml:space="preserve">9. Recommendations</w:t>
      </w:r>
    </w:p>
    <w:p>
      <w:pPr>
        <w:pStyle w:val="FirstParagraph"/>
      </w:pPr>
      <w:r>
        <w:br/>
      </w:r>
    </w:p>
    <w:p>
      <w:pPr>
        <w:pStyle w:val="BodyText"/>
      </w:pPr>
      <w:r>
        <w:t xml:space="preserve">We recommend the following immediate actions:</w:t>
      </w:r>
    </w:p>
    <w:p>
      <w:pPr>
        <w:numPr>
          <w:ilvl w:val="0"/>
          <w:numId w:val="1004"/>
        </w:numPr>
        <w:pStyle w:val="Compact"/>
      </w:pPr>
      <w:r>
        <w:t xml:space="preserve">Purchase or lease a commercial space in a high-visibility area of</w:t>
      </w:r>
      <w:r>
        <w:t xml:space="preserve"> </w:t>
      </w:r>
      <w:r>
        <w:rPr>
          <w:bCs/>
          <w:b/>
        </w:rPr>
        <w:t xml:space="preserve">Montreal</w:t>
      </w:r>
      <w:r>
        <w:t xml:space="preserve">.</w:t>
      </w:r>
    </w:p>
    <w:p>
      <w:pPr>
        <w:numPr>
          <w:ilvl w:val="0"/>
          <w:numId w:val="1004"/>
        </w:numPr>
        <w:pStyle w:val="Compact"/>
      </w:pPr>
      <w:r>
        <w:t xml:space="preserve">Hire a legal consultant specializing in Quebec healthcare law to finalize OOQ compliance.</w:t>
      </w:r>
    </w:p>
    <w:p>
      <w:pPr>
        <w:numPr>
          <w:ilvl w:val="0"/>
          <w:numId w:val="1004"/>
        </w:numPr>
        <w:pStyle w:val="Compact"/>
      </w:pPr>
      <w:r>
        <w:t xml:space="preserve">Beging the recruitment process for senior optometrists with experience in medical optometry.</w:t>
      </w:r>
    </w:p>
    <w:p>
      <w:pPr>
        <w:pStyle w:val="FirstParagraph"/>
      </w:pPr>
      <w:r>
        <w:br/>
      </w:r>
    </w:p>
    <w:p>
      <w:pPr>
        <w:pStyle w:val="BodyText"/>
      </w:pPr>
      <w:r>
        <w:t xml:space="preserve">This Project Report serves as the foundational document for moving forward. With careful execution, this venture will set a new standard for quality and care in</w:t>
      </w:r>
      <w:r>
        <w:t xml:space="preserve"> </w:t>
      </w:r>
      <w:r>
        <w:rPr>
          <w:bCs/>
          <w:b/>
        </w:rPr>
        <w:t xml:space="preserve">Canada</w:t>
      </w:r>
      <w:r>
        <w:t xml:space="preserve">.</w:t>
      </w:r>
    </w:p>
    <w:p>
      <w:pPr>
        <w:pStyle w:val="BodyText"/>
      </w:pPr>
      <w:r>
        <w:t xml:space="preserve">© 2024 Project Management Office | Confidential Document</w:t>
      </w:r>
    </w:p>
    <w:p>
      <w:r>
        <w:pict>
          <v:rect style="width:0;height:1.5pt" o:hralign="center" o:hrstd="t" o:hr="t"/>
        </w:pic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Optometric Clinic in Canada, Montreal</dc:title>
  <dc:creator/>
  <cp:keywords/>
  <dcterms:created xsi:type="dcterms:W3CDTF">2026-07-29T15:57:12Z</dcterms:created>
  <dcterms:modified xsi:type="dcterms:W3CDTF">2026-07-29T15:57:12Z</dcterms:modified>
</cp:coreProperties>
</file>

<file path=docProps/custom.xml><?xml version="1.0" encoding="utf-8"?>
<Properties xmlns="http://schemas.openxmlformats.org/officeDocument/2006/custom-properties" xmlns:vt="http://schemas.openxmlformats.org/officeDocument/2006/docPropsVTypes"/>
</file>