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Optometric</w:t>
      </w:r>
      <w:r>
        <w:t xml:space="preserve"> </w:t>
      </w:r>
      <w:r>
        <w:t xml:space="preserve">Service</w:t>
      </w:r>
      <w:r>
        <w:t xml:space="preserve"> </w:t>
      </w:r>
      <w:r>
        <w:t xml:space="preserve">in</w:t>
      </w:r>
      <w:r>
        <w:t xml:space="preserve"> </w:t>
      </w:r>
      <w:r>
        <w:t xml:space="preserve">Germany,</w:t>
      </w:r>
      <w:r>
        <w:t xml:space="preserve"> </w:t>
      </w:r>
      <w:r>
        <w:t xml:space="preserve">Frankfurt</w:t>
      </w:r>
    </w:p>
    <w:bookmarkStart w:id="28" w:name="Xaaff074806317fda7e24443839525943e7b86e3"/>
    <w:p>
      <w:pPr>
        <w:pStyle w:val="Heading1"/>
      </w:pPr>
      <w:r>
        <w:t xml:space="preserve">Project Report: Establishment of a Premium Optometric Service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Strategic Planning Committee</w:t>
      </w:r>
      <w:r>
        <w:br/>
      </w:r>
      <w:r>
        <w:t xml:space="preserve">Viable Market Entry Strategy for a Specialized</w:t>
      </w:r>
      <w:r>
        <w:t xml:space="preserve"> </w:t>
      </w:r>
      <w:hyperlink w:anchor="optometrist">
        <w:r>
          <w:rPr>
            <w:rStyle w:val="Hyperlink"/>
          </w:rPr>
          <w:t xml:space="preserve">Optometrist</w:t>
        </w:r>
      </w:hyperlink>
      <w:r>
        <w:t xml:space="preserve"> </w:t>
      </w:r>
      <w:r>
        <w:t xml:space="preserve">Practice in</w:t>
      </w:r>
      <w:r>
        <w:t xml:space="preserve"> </w:t>
      </w:r>
      <w:hyperlink w:anchor="germany-frankfurt">
        <w:r>
          <w:rPr>
            <w:rStyle w:val="Hyperlink"/>
          </w:rPr>
          <w:t xml:space="preserve">Germany, Frankfurt</w:t>
        </w:r>
      </w:hyperlink>
    </w:p>
    <w:bookmarkStart w:id="20" w:name="executive-summary"/>
    <w:p>
      <w:pPr>
        <w:pStyle w:val="Heading2"/>
      </w:pPr>
      <w:r>
        <w:t xml:space="preserve">1. Executive Summary</w:t>
      </w:r>
    </w:p>
    <w:p>
      <w:pPr>
        <w:pStyle w:val="FirstParagraph"/>
      </w:pPr>
      <w:r>
        <w:t xml:space="preserve">This project report outlines the strategic plan to establish a state-of-the-art optical practice specializing in advanced optometry services in the heart of</w:t>
      </w:r>
      <w:r>
        <w:t xml:space="preserve"> </w:t>
      </w:r>
      <w:r>
        <w:rPr>
          <w:bCs/>
          <w:b/>
        </w:rPr>
        <w:t xml:space="preserve">Germany, Frankfurt</w:t>
      </w:r>
      <w:r>
        <w:t xml:space="preserve">. As a global financial hub and a densely populated metropolitan area, Frankfurt presents a unique demographic landscape characterized by high disposable income, an aging population, and significant expatriate communities. The primary objective is to introduce premium diagnostic technologies and patient-centric care models that bridge the gap between traditional medical ophthalmology and consumer-focused optical retail. By leveraging the specific regulatory framework of</w:t>
      </w:r>
      <w:r>
        <w:t xml:space="preserve"> </w:t>
      </w:r>
      <w:r>
        <w:rPr>
          <w:bCs/>
          <w:b/>
        </w:rPr>
        <w:t xml:space="preserve">Germany</w:t>
      </w:r>
      <w:r>
        <w:t xml:space="preserve"> </w:t>
      </w:r>
      <w:r>
        <w:t xml:space="preserve">and capitalizing on the logistical advantages of</w:t>
      </w:r>
    </w:p>
    <w:p>
      <w:pPr>
        <w:pStyle w:val="BodyText"/>
      </w:pPr>
      <w:r>
        <w:t xml:space="preserve">Frankfurt</w:t>
      </w:r>
    </w:p>
    <w:p>
      <w:pPr>
        <w:pStyle w:val="BodyText"/>
      </w:pPr>
      <w:r>
        <w:t xml:space="preserve">, this project aims to capture a significant market share within three years.</w:t>
      </w:r>
    </w:p>
    <w:bookmarkEnd w:id="20"/>
    <w:bookmarkStart w:id="21" w:name="market-analysis"/>
    <w:p>
      <w:pPr>
        <w:pStyle w:val="Heading2"/>
      </w:pPr>
      <w:r>
        <w:t xml:space="preserve">2. Market Analysis: The Context of Germany, Frankfurt</w:t>
      </w:r>
    </w:p>
    <w:p>
      <w:pPr>
        <w:pStyle w:val="FirstParagraph"/>
      </w:pPr>
      <w:r>
        <w:t xml:space="preserve">The decision to locate this facility in</w:t>
      </w:r>
      <w:r>
        <w:t xml:space="preserve"> </w:t>
      </w:r>
      <w:r>
        <w:rPr>
          <w:bCs/>
          <w:b/>
        </w:rPr>
        <w:t xml:space="preserve">Germany, Frankfurt</w:t>
      </w:r>
      <w:r>
        <w:t xml:space="preserve">, is driven by several critical factors. First,</w:t>
      </w:r>
      <w:r>
        <w:t xml:space="preserve"> </w:t>
      </w:r>
      <w:r>
        <w:rPr>
          <w:bCs/>
          <w:b/>
        </w:rPr>
        <w:t xml:space="preserve">Germany</w:t>
      </w:r>
      <w:r>
        <w:t xml:space="preserve">, as the largest economy in Europe, has a robust healthcare system where eye health is increasingly recognized not just as a medical necessity but as a component of overall wellness. While vision correction is often covered by basic statutory health insurance, patients are increasingly willing to out-of-pocket for premium lens technologies, digital eye strain solutions, and specialized dry-eye treatments.</w:t>
      </w:r>
    </w:p>
    <w:p>
      <w:pPr>
        <w:pStyle w:val="BodyText"/>
      </w:pPr>
      <w:r>
        <w:t xml:space="preserve">Frankfurt serves as the perfect microcosm for this strategy. As a major international business hub, it hosts a diverse population ranging from local German residents to thousands of international finance professionals. This demographic mix creates a demand for multilingual staff and culturally competent care. Furthermore, Frankfurt’s status as a transportation hub means high foot traffic and visibility, which are crucial for branding. However, the market is competitive. Established chains and independent practices exist throughout the city; therefore, differentiation through technology and specialized</w:t>
      </w:r>
      <w:r>
        <w:t xml:space="preserve"> </w:t>
      </w:r>
      <w:hyperlink w:anchor="optometrist">
        <w:r>
          <w:rPr>
            <w:rStyle w:val="Hyperlink"/>
          </w:rPr>
          <w:t xml:space="preserve">Optometrist</w:t>
        </w:r>
      </w:hyperlink>
      <w:r>
        <w:t xml:space="preserve"> </w:t>
      </w:r>
      <w:r>
        <w:t xml:space="preserve">care is essential.</w:t>
      </w:r>
    </w:p>
    <w:bookmarkEnd w:id="21"/>
    <w:bookmarkStart w:id="22" w:name="service-offerings"/>
    <w:p>
      <w:pPr>
        <w:pStyle w:val="Heading2"/>
      </w:pPr>
      <w:r>
        <w:t xml:space="preserve">3. Proposed Service Offerings</w:t>
      </w:r>
    </w:p>
    <w:p>
      <w:pPr>
        <w:pStyle w:val="FirstParagraph"/>
      </w:pPr>
      <w:r>
        <w:t xml:space="preserve">To distinguish our practice in</w:t>
      </w:r>
      <w:r>
        <w:t xml:space="preserve"> </w:t>
      </w:r>
      <w:r>
        <w:rPr>
          <w:bCs/>
          <w:b/>
        </w:rPr>
        <w:t xml:space="preserve">Germany, Frankfurt</w:t>
      </w:r>
      <w:r>
        <w:t xml:space="preserve">, we propose a service model that elevates the role of the</w:t>
      </w:r>
      <w:r>
        <w:t xml:space="preserve"> </w:t>
      </w:r>
      <w:hyperlink w:anchor="optometrist">
        <w:r>
          <w:rPr>
            <w:rStyle w:val="Hyperlink"/>
          </w:rPr>
          <w:t xml:space="preserve">Optometrist</w:t>
        </w:r>
      </w:hyperlink>
      <w:r>
        <w:t xml:space="preserve">. In many jurisdictions, optometry is limited to refraction and glasses dispensing. However, this project aims to highlight the broader diagnostic capabilities available within current German regulations. Our core services will include:</w:t>
      </w:r>
    </w:p>
    <w:p>
      <w:pPr>
        <w:numPr>
          <w:ilvl w:val="0"/>
          <w:numId w:val="1001"/>
        </w:numPr>
        <w:pStyle w:val="Compact"/>
      </w:pPr>
      <w:r>
        <w:rPr>
          <w:bCs/>
          <w:b/>
        </w:rPr>
        <w:t xml:space="preserve">Comprehensive Eye Examinations:</w:t>
      </w:r>
      <w:r>
        <w:t xml:space="preserve"> </w:t>
      </w:r>
      <w:r>
        <w:t xml:space="preserve">Utilizing cutting-edge OCT (Optical Coherence Tomography) and retinal imaging to detect early signs of glaucoma, macular degeneration, and diabetic retinopathy.</w:t>
      </w:r>
    </w:p>
    <w:p>
      <w:pPr>
        <w:numPr>
          <w:ilvl w:val="0"/>
          <w:numId w:val="1001"/>
        </w:numPr>
        <w:pStyle w:val="Compact"/>
      </w:pPr>
      <w:r>
        <w:rPr>
          <w:bCs/>
          <w:b/>
        </w:rPr>
        <w:t xml:space="preserve">Pediatric Myopia Control:</w:t>
      </w:r>
      <w:r>
        <w:t xml:space="preserve"> </w:t>
      </w:r>
      <w:r>
        <w:t xml:space="preserve">With increasing screen time among children globally, there is a surging demand for myopia management strategies. Our</w:t>
      </w:r>
      <w:r>
        <w:t xml:space="preserve"> </w:t>
      </w:r>
      <w:hyperlink w:anchor="optometrist">
        <w:r>
          <w:rPr>
            <w:rStyle w:val="Hyperlink"/>
          </w:rPr>
          <w:t xml:space="preserve">Optometrist</w:t>
        </w:r>
      </w:hyperlink>
      <w:r>
        <w:t xml:space="preserve"> </w:t>
      </w:r>
      <w:r>
        <w:t xml:space="preserve">team will specialize in orthokeratology and specialized contact lens fittings.</w:t>
      </w:r>
    </w:p>
    <w:p>
      <w:pPr>
        <w:numPr>
          <w:ilvl w:val="0"/>
          <w:numId w:val="1001"/>
        </w:numPr>
        <w:pStyle w:val="Compact"/>
      </w:pPr>
      <w:r>
        <w:rPr>
          <w:bCs/>
          <w:b/>
        </w:rPr>
        <w:t xml:space="preserve">Digital Eye Strain Solutions:</w:t>
      </w:r>
      <w:r>
        <w:t xml:space="preserve"> </w:t>
      </w:r>
      <w:r>
        <w:t xml:space="preserve">Tailored for Frankfurt’s professional workforce, we will offer customized blue-light filtering lenses and ergonomic vision consultations.</w:t>
      </w:r>
    </w:p>
    <w:p>
      <w:pPr>
        <w:numPr>
          <w:ilvl w:val="0"/>
          <w:numId w:val="1001"/>
        </w:numPr>
        <w:pStyle w:val="Compact"/>
      </w:pPr>
      <w:r>
        <w:rPr>
          <w:bCs/>
          <w:b/>
        </w:rPr>
        <w:t xml:space="preserve">Contact Lens Fittings:</w:t>
      </w:r>
      <w:r>
        <w:t xml:space="preserve"> </w:t>
      </w:r>
      <w:r>
        <w:t xml:space="preserve">Specialized care for complex prescriptions, including toric and multifocal lenses, which require higher expertise than standard sphere prescriptions.</w:t>
      </w:r>
    </w:p>
    <w:bookmarkEnd w:id="22"/>
    <w:bookmarkStart w:id="23" w:name="regulatory-compliance"/>
    <w:p>
      <w:pPr>
        <w:pStyle w:val="Heading2"/>
      </w:pPr>
      <w:r>
        <w:t xml:space="preserve">4. Regulatory Framework in Germany</w:t>
      </w:r>
    </w:p>
    <w:p>
      <w:pPr>
        <w:pStyle w:val="FirstParagraph"/>
      </w:pPr>
      <w:r>
        <w:t xml:space="preserve">Navigating the legal landscape in</w:t>
      </w:r>
      <w:r>
        <w:t xml:space="preserve"> </w:t>
      </w:r>
      <w:r>
        <w:rPr>
          <w:bCs/>
          <w:b/>
        </w:rPr>
        <w:t xml:space="preserve">Germany</w:t>
      </w:r>
      <w:r>
        <w:t xml:space="preserve">, Frankfurt is a critical component of this project’s success. It is important to clarify that the title "Optometrist" (translated or adapted as</w:t>
      </w:r>
      <w:r>
        <w:t xml:space="preserve"> </w:t>
      </w:r>
      <w:r>
        <w:rPr>
          <w:iCs/>
          <w:i/>
        </w:rPr>
        <w:t xml:space="preserve">Augenoptiker</w:t>
      </w:r>
      <w:r>
        <w:t xml:space="preserve"> </w:t>
      </w:r>
      <w:r>
        <w:t xml:space="preserve">or working under strict supervision within specific scopes) operates differently than in North America. In Germany, traditional opticians (</w:t>
      </w:r>
      <w:r>
        <w:rPr>
          <w:iCs/>
          <w:i/>
        </w:rPr>
        <w:t xml:space="preserve">Augenoptiker</w:t>
      </w:r>
      <w:r>
        <w:t xml:space="preserve">) are artisans who fit glasses and contacts, while eye examinations for medical conditions are often performed by ophthalmologists (</w:t>
      </w:r>
      <w:r>
        <w:rPr>
          <w:iCs/>
          <w:i/>
        </w:rPr>
        <w:t xml:space="preserve">Augenärzte</w:t>
      </w:r>
      <w:r>
        <w:t xml:space="preserve">). However, recent shifts in the healthcare system allow for greater collaboration.</w:t>
      </w:r>
    </w:p>
    <w:p>
      <w:pPr>
        <w:pStyle w:val="BodyText"/>
      </w:pPr>
      <w:r>
        <w:t xml:space="preserve">This project will operate in compliance with the</w:t>
      </w:r>
      <w:r>
        <w:t xml:space="preserve"> </w:t>
      </w:r>
      <w:r>
        <w:rPr>
          <w:bCs/>
          <w:b/>
        </w:rPr>
        <w:t xml:space="preserve">Germany</w:t>
      </w:r>
      <w:r>
        <w:t xml:space="preserve">, Frankfurt local health authority regulations. We will employ certified</w:t>
      </w:r>
      <w:r>
        <w:t xml:space="preserve"> </w:t>
      </w:r>
      <w:hyperlink w:anchor="optometrist">
        <w:r>
          <w:rPr>
            <w:rStyle w:val="Hyperlink"/>
          </w:rPr>
          <w:t xml:space="preserve">Optometrist</w:t>
        </w:r>
      </w:hyperlink>
      <w:r>
        <w:t xml:space="preserve">-level professionals who work in tandem with licensed ophthalmologists to ensure that all medical diagnoses are legally sound while maximizing the efficiency of patient flow. This hybrid model ensures full compliance with the German Medical Devices Act and local trade laws in Frankfurt.</w:t>
      </w:r>
    </w:p>
    <w:bookmarkEnd w:id="23"/>
    <w:bookmarkStart w:id="24" w:name="operational-strategy"/>
    <w:p>
      <w:pPr>
        <w:pStyle w:val="Heading2"/>
      </w:pPr>
      <w:r>
        <w:t xml:space="preserve">5. Operational Strategy</w:t>
      </w:r>
    </w:p>
    <w:p>
      <w:pPr>
        <w:pStyle w:val="FirstParagraph"/>
      </w:pPr>
      <w:r>
        <w:t xml:space="preserve">The location will be situated in the Westend or Bahnhofsviertel district of</w:t>
      </w:r>
      <w:r>
        <w:t xml:space="preserve"> </w:t>
      </w:r>
      <w:r>
        <w:rPr>
          <w:bCs/>
          <w:b/>
        </w:rPr>
        <w:t xml:space="preserve">Germany, Frankfurt</w:t>
      </w:r>
      <w:r>
        <w:t xml:space="preserve">, areas known for high visibility and proximity to corporate offices. The interior design will reflect a clinical yet welcoming environment, utilizing smart technology for appointment scheduling and digital health records.</w:t>
      </w:r>
    </w:p>
    <w:p>
      <w:pPr>
        <w:pStyle w:val="BodyText"/>
      </w:pPr>
      <w:r>
        <w:rPr>
          <w:bCs/>
          <w:b/>
        </w:rPr>
        <w:t xml:space="preserve">Staffing:</w:t>
      </w:r>
    </w:p>
    <w:p>
      <w:pPr>
        <w:numPr>
          <w:ilvl w:val="0"/>
          <w:numId w:val="1002"/>
        </w:numPr>
        <w:pStyle w:val="Compact"/>
      </w:pPr>
      <w:r>
        <w:t xml:space="preserve">A Lead Ophthalmologist for medical oversight.</w:t>
      </w:r>
    </w:p>
    <w:p>
      <w:pPr>
        <w:numPr>
          <w:ilvl w:val="0"/>
          <w:numId w:val="1002"/>
        </w:numPr>
        <w:pStyle w:val="Compact"/>
      </w:pPr>
      <w:r>
        <w:t xml:space="preserve">Certified Opticians and specialized</w:t>
      </w:r>
      <w:r>
        <w:t xml:space="preserve"> </w:t>
      </w:r>
      <w:hyperlink w:anchor="optometrist">
        <w:r>
          <w:rPr>
            <w:rStyle w:val="Hyperlink"/>
          </w:rPr>
          <w:t xml:space="preserve">Optometrist</w:t>
        </w:r>
      </w:hyperlink>
      <w:r>
        <w:t xml:space="preserve">-trained staff for daily diagnostics and fittings.</w:t>
      </w:r>
    </w:p>
    <w:p>
      <w:pPr>
        <w:numPr>
          <w:ilvl w:val="0"/>
          <w:numId w:val="1002"/>
        </w:numPr>
        <w:pStyle w:val="Compact"/>
      </w:pPr>
      <w:r>
        <w:t xml:space="preserve">Multilingual administrative staff to cater to Frankfurt’s international clientele (German, English, Spanish, Arabic).</w:t>
      </w:r>
    </w:p>
    <w:bookmarkEnd w:id="24"/>
    <w:bookmarkStart w:id="25" w:name="financial-projection"/>
    <w:p>
      <w:pPr>
        <w:pStyle w:val="Heading2"/>
      </w:pPr>
      <w:r>
        <w:t xml:space="preserve">6. Financial Overview</w:t>
      </w:r>
    </w:p>
    <w:p>
      <w:pPr>
        <w:pStyle w:val="FirstParagraph"/>
      </w:pPr>
      <w:r>
        <w:t xml:space="preserve">The initial capital expenditure includes leasehold improvements for the</w:t>
      </w:r>
      <w:r>
        <w:t xml:space="preserve"> </w:t>
      </w:r>
      <w:r>
        <w:rPr>
          <w:bCs/>
          <w:b/>
        </w:rPr>
        <w:t xml:space="preserve">Franfurt</w:t>
      </w:r>
      <w:r>
        <w:t xml:space="preserve">, Germany location, procurement of high-end diagnostic equipment from European manufacturers (to comply with EU standards), and marketing launch costs.</w:t>
      </w:r>
    </w:p>
    <w:p>
      <w:pPr>
        <w:pStyle w:val="BodyText"/>
      </w:pPr>
      <w:r>
        <w:rPr>
          <w:bCs/>
          <w:b/>
        </w:rPr>
        <w:t xml:space="preserve">Revenue Streams:</w:t>
      </w:r>
    </w:p>
    <w:p>
      <w:pPr>
        <w:numPr>
          <w:ilvl w:val="0"/>
          <w:numId w:val="1003"/>
        </w:numPr>
        <w:pStyle w:val="Compact"/>
      </w:pPr>
      <w:r>
        <w:rPr>
          <w:bCs/>
          <w:b/>
        </w:rPr>
        <w:t xml:space="preserve">Cash-Based Services:</w:t>
      </w:r>
      <w:r>
        <w:t xml:space="preserve"> </w:t>
      </w:r>
      <w:r>
        <w:t xml:space="preserve">Premium lens coatings, designer frames, and specialized contact lenses not fully covered by insurance.</w:t>
      </w:r>
    </w:p>
    <w:p>
      <w:pPr>
        <w:numPr>
          <w:ilvl w:val="0"/>
          <w:numId w:val="1003"/>
        </w:numPr>
        <w:pStyle w:val="Compact"/>
      </w:pPr>
      <w:r>
        <w:rPr>
          <w:bCs/>
          <w:b/>
        </w:rPr>
        <w:t xml:space="preserve">Billing to Insurance:</w:t>
      </w:r>
      <w:r>
        <w:t xml:space="preserve">, Standard eye exams for children under 18 and specific medical conditions are reimbursable through German statutory health insurance (GKV) or private insurers. This provides a steady baseline revenue.</w:t>
      </w:r>
    </w:p>
    <w:p>
      <w:pPr>
        <w:pStyle w:val="FirstParagraph"/>
      </w:pPr>
      <w:r>
        <w:t xml:space="preserve">The break-even point is projected at Month 14, assuming a conservative acquisition rate of new patients in the</w:t>
      </w:r>
      <w:r>
        <w:t xml:space="preserve"> </w:t>
      </w:r>
      <w:r>
        <w:rPr>
          <w:bCs/>
          <w:b/>
        </w:rPr>
        <w:t xml:space="preserve">Franfurt</w:t>
      </w:r>
      <w:r>
        <w:t xml:space="preserve">, Germany market.</w:t>
      </w:r>
    </w:p>
    <w:bookmarkEnd w:id="25"/>
    <w:bookmarkStart w:id="26" w:name="risk-analysis"/>
    <w:p>
      <w:pPr>
        <w:pStyle w:val="Heading2"/>
      </w:pPr>
      <w:r>
        <w:t xml:space="preserve">7. Risk Analysis and Mitigation</w:t>
      </w:r>
    </w:p>
    <w:p>
      <w:pPr>
        <w:numPr>
          <w:ilvl w:val="0"/>
          <w:numId w:val="1004"/>
        </w:numPr>
        <w:pStyle w:val="Compact"/>
      </w:pPr>
      <w:r>
        <w:rPr>
          <w:bCs/>
          <w:b/>
        </w:rPr>
        <w:t xml:space="preserve">Regulatory Changes:</w:t>
      </w:r>
    </w:p>
    <w:p>
      <w:pPr>
        <w:numPr>
          <w:ilvl w:val="0"/>
          <w:numId w:val="1000"/>
        </w:numPr>
        <w:pStyle w:val="Compact"/>
      </w:pPr>
      <w:r>
        <w:t xml:space="preserve">The definition of services permissible by non-physicians can change. We will maintain active liaison with the Frankfurt Chamber of Opticians (</w:t>
      </w:r>
      <w:r>
        <w:rPr>
          <w:iCs/>
          <w:i/>
        </w:rPr>
        <w:t xml:space="preserve">Handwerkskammer</w:t>
      </w:r>
      <w:r>
        <w:t xml:space="preserve">) to stay updated.</w:t>
      </w:r>
    </w:p>
    <w:p>
      <w:pPr>
        <w:numPr>
          <w:ilvl w:val="0"/>
          <w:numId w:val="1004"/>
        </w:numPr>
        <w:pStyle w:val="Compact"/>
      </w:pPr>
      <w:r>
        <w:rPr>
          <w:bCs/>
          <w:b/>
        </w:rPr>
        <w:t xml:space="preserve">Economic Downturn:</w:t>
      </w:r>
    </w:p>
    <w:p>
      <w:pPr>
        <w:numPr>
          <w:ilvl w:val="0"/>
          <w:numId w:val="1000"/>
        </w:numPr>
        <w:pStyle w:val="Compact"/>
      </w:pPr>
      <w:r>
        <w:t xml:space="preserve">While healthcare is resilient, luxury optical sales may dip. Mitigation involves focusing on essential medical care (myopia control, dry eye) which remains in high demand regardless of economic cycles.</w:t>
      </w:r>
    </w:p>
    <w:p>
      <w:pPr>
        <w:numPr>
          <w:ilvl w:val="0"/>
          <w:numId w:val="1004"/>
        </w:numPr>
        <w:pStyle w:val="Compact"/>
      </w:pPr>
      <w:r>
        <w:rPr>
          <w:bCs/>
          <w:b/>
        </w:rPr>
        <w:t xml:space="preserve">Competition:</w:t>
      </w:r>
    </w:p>
    <w:p>
      <w:pPr>
        <w:numPr>
          <w:ilvl w:val="0"/>
          <w:numId w:val="1000"/>
        </w:numPr>
        <w:pStyle w:val="Compact"/>
      </w:pPr>
      <w:r>
        <w:t xml:space="preserve">Leveraging the specialized expertise of our</w:t>
      </w:r>
      <w:r>
        <w:t xml:space="preserve"> </w:t>
      </w:r>
      <w:hyperlink w:anchor="optometrist">
        <w:r>
          <w:rPr>
            <w:rStyle w:val="Hyperlink"/>
          </w:rPr>
          <w:t xml:space="preserve">Optometrist</w:t>
        </w:r>
      </w:hyperlink>
      <w:r>
        <w:t xml:space="preserve"> </w:t>
      </w:r>
      <w:r>
        <w:t xml:space="preserve">team will differentiate us from large retail chains that prioritize volume over personalized care.</w:t>
      </w:r>
    </w:p>
    <w:bookmarkEnd w:id="26"/>
    <w:bookmarkStart w:id="27" w:name="conclusion"/>
    <w:p>
      <w:pPr>
        <w:pStyle w:val="Heading2"/>
      </w:pPr>
      <w:r>
        <w:t xml:space="preserve">8. Conclusion and Recommendation</w:t>
      </w:r>
    </w:p>
    <w:p>
      <w:pPr>
        <w:pStyle w:val="FirstParagraph"/>
      </w:pPr>
      <w:r>
        <w:t xml:space="preserve">The establishment of a premium optical practice in</w:t>
      </w:r>
      <w:r>
        <w:t xml:space="preserve"> </w:t>
      </w:r>
      <w:r>
        <w:rPr>
          <w:bCs/>
          <w:b/>
        </w:rPr>
        <w:t xml:space="preserve">Germany, Frankfurt</w:t>
      </w:r>
      <w:r>
        <w:t xml:space="preserve">, represents a timely and viable investment opportunity. The convergence of an aging population, digital lifestyle challenges, and a wealthy international demographic creates fertile ground for enhanced eye care services. By adhering to strict regulatory standards while innovating in patient experience, this project will set a new benchmark for optical care in the region.</w:t>
      </w:r>
    </w:p>
    <w:p>
      <w:pPr>
        <w:pStyle w:val="BodyText"/>
      </w:pPr>
      <w:r>
        <w:t xml:space="preserve">We recommend moving forward with site selection and securing partnerships with local medical professionals immediately. The brand promise of expert</w:t>
      </w:r>
      <w:r>
        <w:t xml:space="preserve"> </w:t>
      </w:r>
      <w:hyperlink w:anchor="optometrist">
        <w:r>
          <w:rPr>
            <w:rStyle w:val="Hyperlink"/>
          </w:rPr>
          <w:t xml:space="preserve">Optometrist</w:t>
        </w:r>
      </w:hyperlink>
      <w:r>
        <w:t xml:space="preserve"> </w:t>
      </w:r>
      <w:r>
        <w:t xml:space="preserve">care combined with the strategic advantages of</w:t>
      </w:r>
      <w:r>
        <w:t xml:space="preserve"> </w:t>
      </w:r>
      <w:r>
        <w:rPr>
          <w:bCs/>
          <w:b/>
        </w:rPr>
        <w:t xml:space="preserve">Germany, Frankfurt</w:t>
      </w:r>
      <w:r>
        <w:t xml:space="preserve">, positions this venture for long-term sustainability and growth.</w:t>
      </w:r>
    </w:p>
    <w:p>
      <w:r>
        <w:pict>
          <v:rect style="width:0;height:1.5pt" o:hralign="center" o:hrstd="t" o:hr="t"/>
        </w:pict>
      </w:r>
    </w:p>
    <w:p>
      <w:pPr>
        <w:pStyle w:val="FirstParagraph"/>
      </w:pPr>
      <w:r>
        <w:rPr>
          <w:iCs/>
          <w:i/>
        </w:rPr>
        <w:t xml:space="preserve">Note: This document serves as a preliminary project report. All financial figures are estimates based on current market rates in</w:t>
      </w:r>
      <w:r>
        <w:rPr>
          <w:iCs/>
          <w:i/>
        </w:rPr>
        <w:t xml:space="preserve"> </w:t>
      </w:r>
      <w:r>
        <w:rPr>
          <w:bCs/>
          <w:b/>
          <w:iCs/>
          <w:i/>
        </w:rPr>
        <w:t xml:space="preserve">Franfurt</w:t>
      </w:r>
      <w:r>
        <w:rPr>
          <w:iCs/>
          <w:i/>
        </w:rPr>
        <w:t xml:space="preserve">, Germany, and should be validated by local fiscal auditors before final commitment.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Optometric Service in Germany, Frankfurt</dc:title>
  <dc:creator/>
  <cp:keywords/>
  <dcterms:created xsi:type="dcterms:W3CDTF">2026-07-29T06:11:36Z</dcterms:created>
  <dcterms:modified xsi:type="dcterms:W3CDTF">2026-07-29T06:11:36Z</dcterms:modified>
</cp:coreProperties>
</file>

<file path=docProps/custom.xml><?xml version="1.0" encoding="utf-8"?>
<Properties xmlns="http://schemas.openxmlformats.org/officeDocument/2006/custom-properties" xmlns:vt="http://schemas.openxmlformats.org/officeDocument/2006/docPropsVTypes"/>
</file>