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Optometrist</w:t>
      </w:r>
      <w:r>
        <w:t xml:space="preserve"> </w:t>
      </w:r>
      <w:r>
        <w:t xml:space="preserve">Practice</w:t>
      </w:r>
      <w:r>
        <w:t xml:space="preserve"> </w:t>
      </w:r>
      <w:r>
        <w:t xml:space="preserve">in</w:t>
      </w:r>
      <w:r>
        <w:t xml:space="preserve"> </w:t>
      </w:r>
      <w:r>
        <w:t xml:space="preserve">Germany</w:t>
      </w:r>
      <w:r>
        <w:t xml:space="preserve"> </w:t>
      </w:r>
      <w:r>
        <w:t xml:space="preserve">Munich</w:t>
      </w:r>
    </w:p>
    <w:bookmarkStart w:id="34" w:name="X2a847a84e86e67f06b23eece9ef6df4465a64ca"/>
    <w:p>
      <w:pPr>
        <w:pStyle w:val="Heading1"/>
      </w:pPr>
      <w:r>
        <w:t xml:space="preserve">Project Report: Strategic Establishment of a Comprehensive Optometrist Practice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Strategic Planning Board</w:t>
      </w:r>
      <w:r>
        <w:br/>
      </w:r>
    </w:p>
    <w:p>
      <w:pPr>
        <w:pStyle w:val="BodyText"/>
      </w:pPr>
      <w:r>
        <w:t xml:space="preserve">From: Project Management Office</w:t>
      </w:r>
      <w:r>
        <w:br/>
      </w:r>
    </w:p>
    <w:p>
      <w:pPr>
        <w:pStyle w:val="BodyText"/>
      </w:pPr>
      <w:r>
        <w:t xml:space="preserve">This document outlines the comprehensive strategic plan, market analysis, regulatory compliance requirements, and operational framework for launching a state-of-the-art Optometrist facility in Germany Munich.</w:t>
      </w:r>
    </w:p>
    <w:bookmarkStart w:id="20" w:name="executive-summary"/>
    <w:p>
      <w:pPr>
        <w:pStyle w:val="Heading2"/>
      </w:pPr>
      <w:r>
        <w:t xml:space="preserve">1. Executive Summary</w:t>
      </w:r>
    </w:p>
    <w:p>
      <w:pPr>
        <w:pStyle w:val="FirstParagraph"/>
      </w:pPr>
      <w:r>
        <w:t xml:space="preserve">The primary objective of this project is to establish a high-quality, patient-centric Optometrist clinic within the metropolitan area of Germany Munich. Recognizing the growing demand for specialized eye care services due to increasing digital screen usage and an aging population, this report details the feasibility and operational strategy for entering one of Europe’s most vibrant healthcare markets. By leveraging Munich’s robust economic stability and high standards of living, we aim to position our Optometrist practice as a leader in preventative vision care, advanced diagnostic technology integration, and patient education.</w:t>
      </w:r>
    </w:p>
    <w:bookmarkEnd w:id="20"/>
    <w:bookmarkStart w:id="23" w:name="X85a1b62f8d9cc508eb7c8b45167a279127f09fd"/>
    <w:p>
      <w:pPr>
        <w:pStyle w:val="Heading2"/>
      </w:pPr>
      <w:r>
        <w:t xml:space="preserve">2. Market Analysis: The Germany Munich Context</w:t>
      </w:r>
    </w:p>
    <w:p>
      <w:pPr>
        <w:pStyle w:val="FirstParagraph"/>
      </w:pPr>
      <w:r>
        <w:t xml:space="preserve">Munich represents a unique intersection of tradition and innovation. As the capital of Bavaria and one of the wealthiest cities in Germany Munich boasts a highly educated populace with significant disposable income. This demographic is increasingly health-conscious, viewing vision care not merely as a corrective measure but as an essential component of overall well-being.</w:t>
      </w:r>
    </w:p>
    <w:bookmarkStart w:id="21" w:name="demographic-trends"/>
    <w:p>
      <w:pPr>
        <w:pStyle w:val="Heading3"/>
      </w:pPr>
      <w:r>
        <w:t xml:space="preserve">2.1 Demographic Trends</w:t>
      </w:r>
    </w:p>
    <w:p>
      <w:pPr>
        <w:numPr>
          <w:ilvl w:val="0"/>
          <w:numId w:val="1001"/>
        </w:numPr>
        <w:pStyle w:val="Compact"/>
      </w:pPr>
      <w:r>
        <w:rPr>
          <w:bCs/>
          <w:b/>
        </w:rPr>
        <w:t xml:space="preserve">Aging Population:</w:t>
      </w:r>
      <w:r>
        <w:t xml:space="preserve"> </w:t>
      </w:r>
      <w:r>
        <w:t xml:space="preserve">Germany has one of the oldest populations in the world. In Germany Munich, this translates to a high prevalence of age-related eye conditions such as cataracts, glaucoma, and macular degeneration. There is a critical need for routine screenings and management services provided by qualified Optometrists.</w:t>
      </w:r>
    </w:p>
    <w:p>
      <w:pPr>
        <w:numPr>
          <w:ilvl w:val="0"/>
          <w:numId w:val="1001"/>
        </w:numPr>
        <w:pStyle w:val="Compact"/>
      </w:pPr>
      <w:r>
        <w:rPr>
          <w:bCs/>
          <w:b/>
        </w:rPr>
        <w:t xml:space="preserve">Digital Fatigue:</w:t>
      </w:r>
      <w:r>
        <w:t xml:space="preserve"> </w:t>
      </w:r>
      <w:r>
        <w:t xml:space="preserve">Munich is a global hub for technology and finance professionals. The extensive use of digital devices has led to a surge in cases of Computer Vision Syndrome, dry eyes, and myopia progression among both adults and children. This creates a sustained demand for specialized Optometrist interventions.</w:t>
      </w:r>
    </w:p>
    <w:bookmarkEnd w:id="21"/>
    <w:bookmarkStart w:id="22" w:name="competitive-landscape"/>
    <w:p>
      <w:pPr>
        <w:pStyle w:val="Heading3"/>
      </w:pPr>
      <w:r>
        <w:t xml:space="preserve">2.2 Competitive Landscape</w:t>
      </w:r>
    </w:p>
    <w:p>
      <w:pPr>
        <w:pStyle w:val="FirstParagraph"/>
      </w:pPr>
      <w:r>
        <w:t xml:space="preserve">The current market in Germany Munich is saturated with traditional optical shops (</w:t>
      </w:r>
      <w:r>
        <w:rPr>
          <w:iCs/>
          <w:i/>
        </w:rPr>
        <w:t xml:space="preserve">Augenoptik</w:t>
      </w:r>
      <w:r>
        <w:t xml:space="preserve">) that often prioritize retail sales over clinical examinations. However, there is a noticeable gap for independent, clinic-style Optometrist practices that emphasize medical diagnostics and holistic eye health over mere product sales. Our project aims to fill this void by distinguishing our service model through superior clinical expertise.</w:t>
      </w:r>
    </w:p>
    <w:bookmarkEnd w:id="22"/>
    <w:bookmarkEnd w:id="23"/>
    <w:bookmarkStart w:id="26" w:name="Xaef6d101bd33bb7003e9fa8602191d48cbf909c"/>
    <w:p>
      <w:pPr>
        <w:pStyle w:val="Heading2"/>
      </w:pPr>
      <w:r>
        <w:t xml:space="preserve">3. Regulatory Framework and Legal Compliance</w:t>
      </w:r>
    </w:p>
    <w:p>
      <w:pPr>
        <w:pStyle w:val="FirstParagraph"/>
      </w:pPr>
      <w:r>
        <w:t xml:space="preserve">Navigating the healthcare regulations in Germany Munich is pivotal to the success of this project. The German healthcare system is strict regarding professional qualifications and practice standards.</w:t>
      </w:r>
    </w:p>
    <w:bookmarkStart w:id="24" w:name="professional-qualifications"/>
    <w:p>
      <w:pPr>
        <w:pStyle w:val="Heading3"/>
      </w:pPr>
      <w:r>
        <w:t xml:space="preserve">3.1 Professional Qualifications</w:t>
      </w:r>
    </w:p>
    <w:p>
      <w:pPr>
        <w:pStyle w:val="FirstParagraph"/>
      </w:pPr>
      <w:r>
        <w:t xml:space="preserve">To operate legally, all practitioners must hold recognized credentials. In Germany, the title "Optometrist" is regulated under the framework of</w:t>
      </w:r>
      <w:r>
        <w:t xml:space="preserve"> </w:t>
      </w:r>
      <w:r>
        <w:rPr>
          <w:iCs/>
          <w:i/>
        </w:rPr>
        <w:t xml:space="preserve">Augenoptiker</w:t>
      </w:r>
      <w:r>
        <w:t xml:space="preserve">. While ophthalmologists perform medical treatments and surgeries, Optometrists are responsible for refractive exams, fitting of contact lenses, and detecting ocular abnormalities. All staff involved in diagnostic procedures must undergo rigorous certification recognized by the Bavarian Chamber of Crafts (</w:t>
      </w:r>
      <w:r>
        <w:rPr>
          <w:iCs/>
          <w:i/>
        </w:rPr>
        <w:t xml:space="preserve">Handwerkskammer München und Oberbayern</w:t>
      </w:r>
      <w:r>
        <w:t xml:space="preserve">).</w:t>
      </w:r>
    </w:p>
    <w:bookmarkEnd w:id="24"/>
    <w:bookmarkStart w:id="25" w:name="licensing-and-zoning"/>
    <w:p>
      <w:pPr>
        <w:pStyle w:val="Heading3"/>
      </w:pPr>
      <w:r>
        <w:t xml:space="preserve">3.2 Licensing and Zoning</w:t>
      </w:r>
    </w:p>
    <w:p>
      <w:pPr>
        <w:pStyle w:val="FirstParagraph"/>
      </w:pPr>
      <w:r>
        <w:t xml:space="preserve">We must secure a business license (</w:t>
      </w:r>
      <w:r>
        <w:rPr>
          <w:iCs/>
          <w:i/>
        </w:rPr>
        <w:t xml:space="preserve">Gewerbeerlaubnis</w:t>
      </w:r>
      <w:r>
        <w:t xml:space="preserve">) and adhere to strict hygiene protocols mandated by local health authorities in Germany Munich. Furthermore, the location must comply with zoning laws regarding medical facilities, ensuring accessibility for patients with mobility issues.</w:t>
      </w:r>
    </w:p>
    <w:bookmarkEnd w:id="25"/>
    <w:bookmarkEnd w:id="26"/>
    <w:bookmarkStart w:id="30" w:name="operational-strategy-and-service-model"/>
    <w:p>
      <w:pPr>
        <w:pStyle w:val="Heading2"/>
      </w:pPr>
      <w:r>
        <w:t xml:space="preserve">4. Operational Strategy and Service Model</w:t>
      </w:r>
    </w:p>
    <w:p>
      <w:pPr>
        <w:pStyle w:val="FirstParagraph"/>
      </w:pPr>
      <w:r>
        <w:t xml:space="preserve">The operational backbone of our Optometrist practice in Germany Munich will be built on three pillars: Advanced Technology, Patient-Centered Care, and Interdisciplinary Collaboration.</w:t>
      </w:r>
    </w:p>
    <w:bookmarkStart w:id="27" w:name="technology-infrastructure"/>
    <w:p>
      <w:pPr>
        <w:pStyle w:val="Heading3"/>
      </w:pPr>
      <w:r>
        <w:t xml:space="preserve">4.1 Technology Infrastructure</w:t>
      </w:r>
    </w:p>
    <w:p>
      <w:pPr>
        <w:pStyle w:val="FirstParagraph"/>
      </w:pPr>
      <w:r>
        <w:t xml:space="preserve">We will invest in cutting-edge diagnostic equipment to ensure accuracy and efficiency. This includes Optical Coherence Tomography (OCT) devices, automated perimeters for glaucoma detection, and digital retinal cameras. These tools allow the Optometrist team to detect early signs of systemic diseases such as diabetes and hypertension, adding significant value to our services in the healthcare-conscious environment of Germany Munich.</w:t>
      </w:r>
    </w:p>
    <w:bookmarkEnd w:id="27"/>
    <w:bookmarkStart w:id="28" w:name="service-offerings"/>
    <w:p>
      <w:pPr>
        <w:pStyle w:val="Heading3"/>
      </w:pPr>
      <w:r>
        <w:t xml:space="preserve">4.2 Service Offerings</w:t>
      </w:r>
    </w:p>
    <w:p>
      <w:pPr>
        <w:numPr>
          <w:ilvl w:val="0"/>
          <w:numId w:val="1002"/>
        </w:numPr>
        <w:pStyle w:val="Compact"/>
      </w:pPr>
      <w:r>
        <w:rPr>
          <w:bCs/>
          <w:b/>
        </w:rPr>
        <w:t xml:space="preserve">Routine Eye Examinations:</w:t>
      </w:r>
    </w:p>
    <w:p>
      <w:pPr>
        <w:numPr>
          <w:ilvl w:val="0"/>
          <w:numId w:val="1000"/>
        </w:numPr>
        <w:pStyle w:val="Compact"/>
      </w:pPr>
      <w:r>
        <w:t xml:space="preserve">Premium comprehensive exams including intraocular pressure measurement and fundus photography.</w:t>
      </w:r>
    </w:p>
    <w:p>
      <w:pPr>
        <w:numPr>
          <w:ilvl w:val="0"/>
          <w:numId w:val="1002"/>
        </w:numPr>
        <w:pStyle w:val="Compact"/>
      </w:pPr>
      <w:r>
        <w:t xml:space="preserve">Contact Lens Fitting:</w:t>
      </w:r>
    </w:p>
    <w:p>
      <w:pPr>
        <w:numPr>
          <w:ilvl w:val="0"/>
          <w:numId w:val="1000"/>
        </w:numPr>
        <w:pStyle w:val="Compact"/>
      </w:pPr>
      <w:r>
        <w:t xml:space="preserve">Specialized fittings for complex cases, including orthokeratology and scleral lenses.</w:t>
      </w:r>
    </w:p>
    <w:p>
      <w:pPr>
        <w:numPr>
          <w:ilvl w:val="0"/>
          <w:numId w:val="1002"/>
        </w:numPr>
        <w:pStyle w:val="Compact"/>
      </w:pPr>
      <w:r>
        <w:t xml:space="preserve">Vision Therapy::</w:t>
      </w:r>
    </w:p>
    <w:p>
      <w:pPr>
        <w:numPr>
          <w:ilvl w:val="0"/>
          <w:numId w:val="1000"/>
        </w:numPr>
        <w:pStyle w:val="Compact"/>
      </w:pPr>
      <w:r>
        <w:t xml:space="preserve">Certified programs for children with learning difficulties related to vision or adults recovering from visual trauma.</w:t>
      </w:r>
    </w:p>
    <w:p>
      <w:pPr>
        <w:numPr>
          <w:ilvl w:val="0"/>
          <w:numId w:val="1002"/>
        </w:numPr>
        <w:pStyle w:val="Compact"/>
      </w:pPr>
      <w:r>
        <w:rPr>
          <w:bCs/>
          <w:b/>
        </w:rPr>
        <w:t xml:space="preserve">Dry Eye Clinic:</w:t>
      </w:r>
      <w:r>
        <w:t xml:space="preserve">:</w:t>
      </w:r>
    </w:p>
    <w:p>
      <w:pPr>
        <w:numPr>
          <w:ilvl w:val="0"/>
          <w:numId w:val="1000"/>
        </w:numPr>
        <w:pStyle w:val="Compact"/>
      </w:pPr>
      <w:r>
        <w:t xml:space="preserve">Dedicated treatment protocols for chronic dry eye disease, a growing concern in urban settings like Germany Munich.</w:t>
      </w:r>
    </w:p>
    <w:bookmarkEnd w:id="28"/>
    <w:bookmarkStart w:id="29" w:name="collaboration-with-ophthalmologists"/>
    <w:p>
      <w:pPr>
        <w:pStyle w:val="Heading3"/>
      </w:pPr>
      <w:r>
        <w:t xml:space="preserve">4.3 Collaboration with Ophthalmologists</w:t>
      </w:r>
    </w:p>
    <w:p>
      <w:pPr>
        <w:pStyle w:val="FirstParagraph"/>
      </w:pPr>
      <w:r>
        <w:t xml:space="preserve">In the German healthcare system, collaboration is key. We will establish formal referral pathways with local ophthalmologists in Germany Munich. This ensures that when medical issues are detected, patients receive seamless transition to surgical or medical management, reinforcing our role as the first line of defense in eye health.</w:t>
      </w:r>
    </w:p>
    <w:bookmarkEnd w:id="29"/>
    <w:bookmarkEnd w:id="30"/>
    <w:bookmarkStart w:id="31" w:name="marketing-and-patient-acquisition"/>
    <w:p>
      <w:pPr>
        <w:pStyle w:val="Heading2"/>
      </w:pPr>
      <w:r>
        <w:t xml:space="preserve">5. Marketing and Patient Acquisition</w:t>
      </w:r>
    </w:p>
    <w:p>
      <w:pPr>
        <w:pStyle w:val="FirstParagraph"/>
      </w:pPr>
      <w:r>
        <w:t xml:space="preserve">To succeed in Germany Munich, our marketing strategy must balance professionalism with approachability. Trust is paramount in German healthcare culture.</w:t>
      </w:r>
    </w:p>
    <w:p>
      <w:pPr>
        <w:numPr>
          <w:ilvl w:val="0"/>
          <w:numId w:val="1003"/>
        </w:numPr>
        <w:pStyle w:val="Compact"/>
      </w:pPr>
      <w:r>
        <w:rPr>
          <w:bCs/>
          <w:b/>
        </w:rPr>
        <w:t xml:space="preserve">Digital Presence:</w:t>
      </w:r>
    </w:p>
    <w:p>
      <w:pPr>
        <w:numPr>
          <w:ilvl w:val="0"/>
          <w:numId w:val="1000"/>
        </w:numPr>
        <w:pStyle w:val="Compact"/>
      </w:pPr>
      <w:r>
        <w:t xml:space="preserve">A multilingual website (German and English) optimized for local SEO, targeting keywords such as "Optometrist Munich" and "Eye Exam near me."</w:t>
      </w:r>
    </w:p>
    <w:p>
      <w:pPr>
        <w:numPr>
          <w:ilvl w:val="0"/>
          <w:numId w:val="1003"/>
        </w:numPr>
        <w:pStyle w:val="Compact"/>
      </w:pPr>
      <w:r>
        <w:rPr>
          <w:bCs/>
          <w:b/>
        </w:rPr>
        <w:t xml:space="preserve">Community Engagement:</w:t>
      </w:r>
      <w:r>
        <w:t xml:space="preserve">:</w:t>
      </w:r>
    </w:p>
    <w:p>
      <w:pPr>
        <w:numPr>
          <w:ilvl w:val="0"/>
          <w:numId w:val="1000"/>
        </w:numPr>
        <w:pStyle w:val="Compact"/>
      </w:pPr>
      <w:r>
        <w:t xml:space="preserve">Partnering with local schools, corporate offices in the Schwabing and Maxvorstadt districts to provide on-site vision checks. This proactive approach raises brand awareness and demonstrates our commitment to community health in Germany Munich.</w:t>
      </w:r>
    </w:p>
    <w:p>
      <w:pPr>
        <w:numPr>
          <w:ilvl w:val="0"/>
          <w:numId w:val="1003"/>
        </w:numPr>
        <w:pStyle w:val="Compact"/>
      </w:pPr>
      <w:r>
        <w:rPr>
          <w:bCs/>
          <w:b/>
        </w:rPr>
        <w:t xml:space="preserve">Patient Education:</w:t>
      </w:r>
    </w:p>
    <w:p>
      <w:pPr>
        <w:numPr>
          <w:ilvl w:val="0"/>
          <w:numId w:val="1000"/>
        </w:numPr>
        <w:pStyle w:val="Compact"/>
      </w:pPr>
      <w:r>
        <w:t xml:space="preserve">Host seminars on eye health, focusing on preventative measures for digital screen users. This positions our Optometrist staff as experts and builds long-term patient loyalty.</w:t>
      </w:r>
    </w:p>
    <w:bookmarkEnd w:id="31"/>
    <w:bookmarkStart w:id="32" w:name="financial-projections-and-sustainability"/>
    <w:p>
      <w:pPr>
        <w:pStyle w:val="Heading2"/>
      </w:pPr>
      <w:r>
        <w:t xml:space="preserve">6. Financial Projections and Sustainability</w:t>
      </w:r>
    </w:p>
    <w:p>
      <w:pPr>
        <w:pStyle w:val="FirstParagraph"/>
      </w:pPr>
      <w:r>
        <w:t xml:space="preserve">The financial model relies on a hybrid revenue stream. While private pay patients contribute significantly due to the high cost of living in Germany Munich, we also aim to contract with major German health insurers (</w:t>
      </w:r>
      <w:r>
        <w:rPr>
          <w:iCs/>
          <w:i/>
        </w:rPr>
        <w:t xml:space="preserve">Krankenkassen</w:t>
      </w:r>
      <w:r>
        <w:t xml:space="preserve">) for specific preventive services where applicable. Initial capital expenditure will be high due to equipment costs and premium real estate in central Munich locations. However, projected break-even is estimated at month 18, driven by high patient retention rates and a strong referral network.</w:t>
      </w:r>
    </w:p>
    <w:bookmarkEnd w:id="32"/>
    <w:bookmarkStart w:id="33" w:name="conclusion"/>
    <w:p>
      <w:pPr>
        <w:pStyle w:val="Heading2"/>
      </w:pPr>
      <w:r>
        <w:t xml:space="preserve">7. Conclusion</w:t>
      </w:r>
    </w:p>
    <w:p>
      <w:pPr>
        <w:pStyle w:val="FirstParagraph"/>
      </w:pPr>
      <w:r>
        <w:t xml:space="preserve">The establishment of this Optometrist practice in Germany Munich is not only commercially viable but also socially impactful. By addressing the specific needs of a modern, urban population while adhering to the rigorous standards of the German healthcare system, we can create a sustainable and reputable medical facility. The convergence of Munich’s economic strength, demographic trends requiring vision care, and our strategic focus on clinical excellence positions this project for long-term success. We recommend immediate approval to proceed with site selection and licensing applications.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Optometrist Practice in Germany Munich</dc:title>
  <dc:creator/>
  <dc:language>en</dc:language>
  <cp:keywords/>
  <dcterms:created xsi:type="dcterms:W3CDTF">2026-07-29T09:39:36Z</dcterms:created>
  <dcterms:modified xsi:type="dcterms:W3CDTF">2026-07-29T09:39:36Z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