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Optometry</w:t>
      </w:r>
      <w:r>
        <w:t xml:space="preserve"> </w:t>
      </w:r>
      <w:r>
        <w:t xml:space="preserve">Practice</w:t>
      </w:r>
      <w:r>
        <w:t xml:space="preserve"> </w:t>
      </w:r>
      <w:r>
        <w:t xml:space="preserve">in</w:t>
      </w:r>
      <w:r>
        <w:t xml:space="preserve"> </w:t>
      </w:r>
      <w:r>
        <w:t xml:space="preserve">India</w:t>
      </w:r>
      <w:r>
        <w:t xml:space="preserve"> </w:t>
      </w:r>
      <w:r>
        <w:t xml:space="preserve">Mumbai</w:t>
      </w:r>
    </w:p>
    <w:bookmarkStart w:id="31" w:name="X4830ea5a1ea613227f4000ac0e375b73b2b8a78"/>
    <w:p>
      <w:pPr>
        <w:pStyle w:val="Heading1"/>
      </w:pPr>
      <w:r>
        <w:t xml:space="preserve">Project Report: Establishing a Comprehensive Optometry Practice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r>
        <w:t xml:space="preserve">Viable Implementation Strategy for a High-Tier Optometry Service Provider in the Metropolitan Hub of India Mumbai</w:t>
      </w:r>
    </w:p>
    <w:bookmarkStart w:id="20" w:name="executive-summary"/>
    <w:p>
      <w:pPr>
        <w:pStyle w:val="Heading2"/>
      </w:pPr>
      <w:r>
        <w:t xml:space="preserve">1. Executive Summary</w:t>
      </w:r>
    </w:p>
    <w:p>
      <w:pPr>
        <w:pStyle w:val="FirstParagraph"/>
      </w:pPr>
      <w:r>
        <w:t xml:space="preserve">This Project Report outlines the strategic framework for launching a state-of-the-art optometry center within the bustling metropolitan landscape of India Mumbai. As urbanization accelerates and digital screen time increases across demographics, the demand for specialized eye care services has reached unprecedented levels in this region. This document details the operational, clinical, and marketing strategies required to establish a trusted brand identity for our</w:t>
      </w:r>
      <w:r>
        <w:t xml:space="preserve"> </w:t>
      </w:r>
      <w:r>
        <w:rPr>
          <w:bCs/>
          <w:b/>
        </w:rPr>
        <w:t xml:space="preserve">Optometrist</w:t>
      </w:r>
      <w:r>
        <w:t xml:space="preserve"> </w:t>
      </w:r>
      <w:r>
        <w:t xml:space="preserve">practice specifically tailored to the unique socio-economic fabric of</w:t>
      </w:r>
      <w:r>
        <w:t xml:space="preserve"> </w:t>
      </w:r>
      <w:r>
        <w:rPr>
          <w:bCs/>
          <w:b/>
        </w:rPr>
        <w:t xml:space="preserve">India Mumbai</w:t>
      </w:r>
      <w:r>
        <w:t xml:space="preserve">.</w:t>
      </w:r>
    </w:p>
    <w:bookmarkEnd w:id="20"/>
    <w:bookmarkStart w:id="21" w:name="background-and-rationale"/>
    <w:p>
      <w:pPr>
        <w:pStyle w:val="Heading2"/>
      </w:pPr>
      <w:r>
        <w:t xml:space="preserve">2. Background and Rationale</w:t>
      </w:r>
    </w:p>
    <w:p>
      <w:pPr>
        <w:pStyle w:val="FirstParagraph"/>
      </w:pPr>
      <w:r>
        <w:rPr>
          <w:bCs/>
          <w:b/>
        </w:rPr>
        <w:t xml:space="preserve">The Context of India Mumbai:</w:t>
      </w:r>
    </w:p>
    <w:p>
      <w:pPr>
        <w:pStyle w:val="BodyText"/>
      </w:pPr>
      <w:r>
        <w:rPr>
          <w:iCs/>
          <w:i/>
        </w:rPr>
        <w:t xml:space="preserve">Mumbai,</w:t>
      </w:r>
      <w:r>
        <w:t xml:space="preserve">, often referred to as the "City of Dreams," is not only the financial capital but also a demographic powerhouse with over 13 million residents in its metropolitan area. The city is characterized by high population density, a diverse mix of income levels, and a rapidly expanding middle class. However, this growth comes with significant health challenges. The prevalence of lifestyle-related ocular conditions, such as myopia (nearsightedness), dry eye syndrome due to air-conditioned office environments, and diabetic retinopathy associated with rising diabetes rates in urban</w:t>
      </w:r>
      <w:r>
        <w:t xml:space="preserve"> </w:t>
      </w:r>
      <w:r>
        <w:rPr>
          <w:iCs/>
          <w:i/>
        </w:rPr>
        <w:t xml:space="preserve">India</w:t>
      </w:r>
      <w:r>
        <w:t xml:space="preserve">, creates a critical need for accessible and professional vision care.</w:t>
      </w:r>
    </w:p>
    <w:p>
      <w:pPr>
        <w:pStyle w:val="BodyText"/>
      </w:pPr>
      <w:r>
        <w:rPr>
          <w:bCs/>
          <w:b/>
        </w:rPr>
        <w:t xml:space="preserve">The Role of the Modern Optometrist:</w:t>
      </w:r>
    </w:p>
    <w:p>
      <w:pPr>
        <w:pStyle w:val="BodyText"/>
      </w:pPr>
      <w:r>
        <w:t xml:space="preserve">Traditionally viewed merely as prescribers of glasses, the role of an</w:t>
      </w:r>
      <w:r>
        <w:t xml:space="preserve"> </w:t>
      </w:r>
      <w:r>
        <w:rPr>
          <w:bCs/>
          <w:b/>
        </w:rPr>
        <w:t xml:space="preserve">Optometrist</w:t>
      </w:r>
      <w:r>
        <w:t xml:space="preserve"> </w:t>
      </w:r>
      <w:r>
        <w:t xml:space="preserve">has evolved into that of a primary eye healthcare provider. In the context of this project, our practice will position the optometric service not just as a retail outlet for frames, but as a diagnostic hub capable of detecting early signs of glaucoma, cataracts, and systemic health issues through ocular manifestations. This shift in perception is vital for establishing long-term patient loyalty in</w:t>
      </w:r>
      <w:r>
        <w:t xml:space="preserve"> </w:t>
      </w:r>
      <w:r>
        <w:rPr>
          <w:bCs/>
          <w:b/>
        </w:rPr>
        <w:t xml:space="preserve">India Mumbai</w:t>
      </w:r>
      <w:r>
        <w:t xml:space="preserve">.</w:t>
      </w:r>
    </w:p>
    <w:bookmarkEnd w:id="21"/>
    <w:bookmarkStart w:id="22" w:name="market-analysis-and-target-audience"/>
    <w:p>
      <w:pPr>
        <w:pStyle w:val="Heading2"/>
      </w:pPr>
      <w:r>
        <w:t xml:space="preserve">3. Market Analysis and Target Audience</w:t>
      </w:r>
    </w:p>
    <w:p>
      <w:pPr>
        <w:pStyle w:val="FirstParagraph"/>
      </w:pPr>
      <w:r>
        <w:t xml:space="preserve">The target market for this project is segmented into three distinct categories, reflecting the diversity of the population in India:</w:t>
      </w:r>
    </w:p>
    <w:p>
      <w:pPr>
        <w:numPr>
          <w:ilvl w:val="0"/>
          <w:numId w:val="1001"/>
        </w:numPr>
        <w:pStyle w:val="Compact"/>
      </w:pPr>
      <w:r>
        <w:rPr>
          <w:bCs/>
          <w:b/>
        </w:rPr>
        <w:t xml:space="preserve">The Corporate Professional:</w:t>
      </w:r>
      <w:r>
        <w:t xml:space="preserve"> </w:t>
      </w:r>
      <w:r>
        <w:t xml:space="preserve">Located in financial districts like Nariman Point and BKC (Bandra Kurla Complex). This demographic suffers heavily from Computer Vision Syndrome. They require convenient, high-speed service and premium eyewear solutions that blend aesthetics with ergonomic functionality.</w:t>
      </w:r>
    </w:p>
    <w:p>
      <w:pPr>
        <w:numPr>
          <w:ilvl w:val="0"/>
          <w:numId w:val="1001"/>
        </w:numPr>
        <w:pStyle w:val="Compact"/>
      </w:pPr>
      <w:r>
        <w:rPr>
          <w:bCs/>
          <w:b/>
        </w:rPr>
        <w:t xml:space="preserve">The Pediatric Segment:</w:t>
      </w:r>
      <w:r>
        <w:t xml:space="preserve"> </w:t>
      </w:r>
      <w:r>
        <w:t xml:space="preserve">With the proliferation of digital education in schools across</w:t>
      </w:r>
      <w:r>
        <w:t xml:space="preserve"> </w:t>
      </w:r>
      <w:r>
        <w:rPr>
          <w:bCs/>
          <w:b/>
        </w:rPr>
        <w:t xml:space="preserve">Mumbai</w:t>
      </w:r>
      <w:r>
        <w:t xml:space="preserve">, parents are increasingly concerned about myopia progression in children. Our project will feature a specialized pediatric wing offering orthokeratology and low-dose atropine therapies under strict optometric supervision.</w:t>
      </w:r>
    </w:p>
    <w:p>
      <w:pPr>
        <w:numPr>
          <w:ilvl w:val="0"/>
          <w:numId w:val="1001"/>
        </w:numPr>
        <w:pStyle w:val="Compact"/>
      </w:pPr>
      <w:r>
        <w:rPr>
          <w:bCs/>
          <w:b/>
        </w:rPr>
        <w:t xml:space="preserve">The Geriatric Cohort:</w:t>
      </w:r>
      <w:r>
        <w:t xml:space="preserve"> </w:t>
      </w:r>
      <w:r>
        <w:t xml:space="preserve">Mumbai has a significant aging population prone to age-related macular degeneration and cataracts. This group requires comprehensive ocular health screenings rather than just refraction services.</w:t>
      </w:r>
    </w:p>
    <w:bookmarkEnd w:id="22"/>
    <w:bookmarkStart w:id="25" w:name="operational-strategy-and-location"/>
    <w:p>
      <w:pPr>
        <w:pStyle w:val="Heading2"/>
      </w:pPr>
      <w:r>
        <w:t xml:space="preserve">4. Operational Strategy and Location</w:t>
      </w:r>
    </w:p>
    <w:bookmarkStart w:id="23" w:name="site-selection-in-mumbai"/>
    <w:p>
      <w:pPr>
        <w:pStyle w:val="Heading3"/>
      </w:pPr>
      <w:r>
        <w:t xml:space="preserve">4.1 Site Selection in Mumbai</w:t>
      </w:r>
    </w:p>
    <w:p>
      <w:pPr>
        <w:pStyle w:val="FirstParagraph"/>
      </w:pPr>
      <w:r>
        <w:t xml:space="preserve">The choice of location is pivotal for the success of an optometry practice in a congested city like Mumbai. We propose establishing our primary clinic in South</w:t>
      </w:r>
      <w:r>
        <w:t xml:space="preserve"> </w:t>
      </w:r>
      <w:r>
        <w:rPr>
          <w:iCs/>
          <w:i/>
        </w:rPr>
        <w:t xml:space="preserve">Mumbai</w:t>
      </w:r>
      <w:r>
        <w:t xml:space="preserve">, specifically near affluent residential zones such as Bandra West or Colaba, while simultaneously launching satellite touchpoints in high-density areas like Dadar or Andheri East. This "Hub and Spoke" model ensures accessibility for the diverse demographics of</w:t>
      </w:r>
      <w:r>
        <w:t xml:space="preserve"> </w:t>
      </w:r>
      <w:r>
        <w:rPr>
          <w:bCs/>
          <w:b/>
        </w:rPr>
        <w:t xml:space="preserve">India Mumbai</w:t>
      </w:r>
      <w:r>
        <w:t xml:space="preserve">.</w:t>
      </w:r>
    </w:p>
    <w:bookmarkEnd w:id="23"/>
    <w:bookmarkStart w:id="24" w:name="technological-infrastructure"/>
    <w:p>
      <w:pPr>
        <w:pStyle w:val="Heading3"/>
      </w:pPr>
      <w:r>
        <w:t xml:space="preserve">4.2 Technological Infrastructure</w:t>
      </w:r>
    </w:p>
    <w:p>
      <w:pPr>
        <w:pStyle w:val="FirstParagraph"/>
      </w:pPr>
      <w:r>
        <w:t xml:space="preserve">To differentiate ourselves from traditional optical stores, our facility will be equipped with cutting-edge diagnostic technology available only in specialized hospitals. This includes:</w:t>
      </w:r>
    </w:p>
    <w:p>
      <w:pPr>
        <w:numPr>
          <w:ilvl w:val="0"/>
          <w:numId w:val="1002"/>
        </w:numPr>
        <w:pStyle w:val="Compact"/>
      </w:pPr>
      <w:r>
        <w:t xml:space="preserve">Spectral-Domain Optical Coherence Tomography (SD-OCT) for retinal imaging.</w:t>
      </w:r>
    </w:p>
    <w:p>
      <w:pPr>
        <w:numPr>
          <w:ilvl w:val="0"/>
          <w:numId w:val="1002"/>
        </w:numPr>
        <w:pStyle w:val="Compact"/>
      </w:pPr>
      <w:r>
        <w:t xml:space="preserve">Non-contact Tonometers for glaucoma screening.</w:t>
      </w:r>
    </w:p>
    <w:p>
      <w:pPr>
        <w:numPr>
          <w:ilvl w:val="0"/>
          <w:numId w:val="1002"/>
        </w:numPr>
        <w:pStyle w:val="Compact"/>
      </w:pPr>
      <w:r>
        <w:t xml:space="preserve">Digital Phoropters to ensure precise refraction results, reducing the margin of error common in manual trials.</w:t>
      </w:r>
    </w:p>
    <w:bookmarkEnd w:id="24"/>
    <w:bookmarkEnd w:id="25"/>
    <w:bookmarkStart w:id="26" w:name="service-portfolio"/>
    <w:p>
      <w:pPr>
        <w:pStyle w:val="Heading2"/>
      </w:pPr>
      <w:r>
        <w:t xml:space="preserve">5. Service Portfolio</w:t>
      </w:r>
    </w:p>
    <w:p>
      <w:pPr>
        <w:pStyle w:val="FirstParagraph"/>
      </w:pPr>
      <w:r>
        <w:t xml:space="preserve">The core service offering will revolve around the expertise of our lead</w:t>
      </w:r>
      <w:r>
        <w:t xml:space="preserve"> </w:t>
      </w:r>
      <w:r>
        <w:rPr>
          <w:bCs/>
          <w:b/>
        </w:rPr>
        <w:t xml:space="preserve">Optometrist</w:t>
      </w:r>
      <w:r>
        <w:t xml:space="preserve">, supported by a team of trained technicians. The services include:</w:t>
      </w:r>
    </w:p>
    <w:p>
      <w:pPr>
        <w:numPr>
          <w:ilvl w:val="0"/>
          <w:numId w:val="1003"/>
        </w:numPr>
        <w:pStyle w:val="Compact"/>
      </w:pPr>
      <w:r>
        <w:rPr>
          <w:bCs/>
          <w:b/>
        </w:rPr>
        <w:t xml:space="preserve">Premium Refraction Services:</w:t>
      </w:r>
      <w:r>
        <w:t xml:space="preserve"> </w:t>
      </w:r>
      <w:r>
        <w:t xml:space="preserve">Using advanced digital tools to provide accurate prescriptions for distance, near, and computer vision.</w:t>
      </w:r>
    </w:p>
    <w:p>
      <w:pPr>
        <w:numPr>
          <w:ilvl w:val="0"/>
          <w:numId w:val="1003"/>
        </w:numPr>
        <w:pStyle w:val="Compact"/>
      </w:pPr>
      <w:r>
        <w:rPr>
          <w:bCs/>
          <w:b/>
        </w:rPr>
        <w:t xml:space="preserve">Contact Lens Fitting:</w:t>
      </w:r>
      <w:r>
        <w:t xml:space="preserve"> </w:t>
      </w:r>
      <w:r>
        <w:t xml:space="preserve">Specializing in multifocal lenses for presbyopia and soft toric lenses for astigmatism, catering to the active lifestyle of Mumbai residents.</w:t>
      </w:r>
    </w:p>
    <w:p>
      <w:pPr>
        <w:numPr>
          <w:ilvl w:val="0"/>
          <w:numId w:val="1003"/>
        </w:numPr>
        <w:pStyle w:val="Compact"/>
      </w:pPr>
      <w:r>
        <w:rPr>
          <w:bCs/>
          <w:b/>
        </w:rPr>
        <w:t xml:space="preserve">Vision Therapy Programs:</w:t>
      </w:r>
      <w:r>
        <w:t xml:space="preserve"> </w:t>
      </w:r>
      <w:r>
        <w:t xml:space="preserve">Non-surgical interventions for amblyopia (lazy eye) and strabismus, particularly targeting children in school-going age groups across</w:t>
      </w:r>
      <w:r>
        <w:t xml:space="preserve"> </w:t>
      </w:r>
      <w:r>
        <w:rPr>
          <w:iCs/>
          <w:i/>
        </w:rPr>
        <w:t xml:space="preserve">Mumbai</w:t>
      </w:r>
      <w:r>
        <w:t xml:space="preserve">.</w:t>
      </w:r>
    </w:p>
    <w:p>
      <w:pPr>
        <w:numPr>
          <w:ilvl w:val="0"/>
          <w:numId w:val="1003"/>
        </w:numPr>
        <w:pStyle w:val="Compact"/>
      </w:pPr>
      <w:r>
        <w:rPr>
          <w:bCs/>
          <w:b/>
        </w:rPr>
        <w:t xml:space="preserve">Corporate Tie-Ups:</w:t>
      </w:r>
    </w:p>
    <w:bookmarkEnd w:id="26"/>
    <w:bookmarkStart w:id="27" w:name="financial-projections-and-sustainability"/>
    <w:p>
      <w:pPr>
        <w:pStyle w:val="Heading2"/>
      </w:pPr>
      <w:r>
        <w:t xml:space="preserve">6. Financial Projections and Sustainability</w:t>
      </w:r>
    </w:p>
    <w:p>
      <w:pPr>
        <w:pStyle w:val="FirstParagraph"/>
      </w:pPr>
      <w:r>
        <w:t xml:space="preserve">The financial model accounts for the high operational costs associated with real estate in</w:t>
      </w:r>
      <w:r>
        <w:t xml:space="preserve"> </w:t>
      </w:r>
      <w:r>
        <w:rPr>
          <w:bCs/>
          <w:b/>
        </w:rPr>
        <w:t xml:space="preserve">Mumbai</w:t>
      </w:r>
      <w:r>
        <w:t xml:space="preserve">. Revenue streams will be diversified beyond frame sales to include diagnostic fees, contact lens rentals, and vision therapy sessions. Initial capital expenditure is estimated at ₹1.5 Crores (INR) for infrastructure and technology procurement. Break-even analysis suggests a profitability timeline of 18 months, driven by high patient volume in the dense</w:t>
      </w:r>
      <w:r>
        <w:t xml:space="preserve"> </w:t>
      </w:r>
      <w:r>
        <w:rPr>
          <w:bCs/>
          <w:b/>
        </w:rPr>
        <w:t xml:space="preserve">India Mumbai</w:t>
      </w:r>
      <w:r>
        <w:t xml:space="preserve"> </w:t>
      </w:r>
      <w:r>
        <w:t xml:space="preserve">market.</w:t>
      </w:r>
    </w:p>
    <w:bookmarkEnd w:id="27"/>
    <w:bookmarkStart w:id="28" w:name="marketing-and-community-engagement"/>
    <w:p>
      <w:pPr>
        <w:pStyle w:val="Heading2"/>
      </w:pPr>
      <w:r>
        <w:t xml:space="preserve">7. Marketing and Community Engagement</w:t>
      </w:r>
    </w:p>
    <w:p>
      <w:pPr>
        <w:pStyle w:val="FirstParagraph"/>
      </w:pPr>
      <w:r>
        <w:t xml:space="preserve">Awareness is key to overcoming the misconception that eye exams are only necessary when vision fails. Our marketing strategy will focus on:</w:t>
      </w:r>
    </w:p>
    <w:p>
      <w:pPr>
        <w:numPr>
          <w:ilvl w:val="0"/>
          <w:numId w:val="1004"/>
        </w:numPr>
        <w:pStyle w:val="Compact"/>
      </w:pPr>
      <w:r>
        <w:rPr>
          <w:bCs/>
          <w:b/>
        </w:rPr>
        <w:t xml:space="preserve">Digital Presence:</w:t>
      </w:r>
      <w:r>
        <w:t xml:space="preserve"> </w:t>
      </w:r>
      <w:r>
        <w:t xml:space="preserve">Leveraging social media platforms popular in India, such as Instagram and Facebook, to educate users about eye health.</w:t>
      </w:r>
    </w:p>
    <w:p>
      <w:pPr>
        <w:numPr>
          <w:ilvl w:val="0"/>
          <w:numId w:val="1004"/>
        </w:numPr>
        <w:pStyle w:val="Compact"/>
      </w:pPr>
      <w:r>
        <w:rPr>
          <w:bCs/>
          <w:b/>
        </w:rPr>
        <w:t xml:space="preserve">School Partnerships:</w:t>
      </w:r>
      <w:r>
        <w:t xml:space="preserve"> </w:t>
      </w:r>
      <w:r>
        <w:t xml:space="preserve">Conducting free vision camps in prominent schools across Mumbai to build early trust with parents.</w:t>
      </w:r>
    </w:p>
    <w:p>
      <w:pPr>
        <w:numPr>
          <w:ilvl w:val="0"/>
          <w:numId w:val="1004"/>
        </w:numPr>
        <w:pStyle w:val="Compact"/>
      </w:pPr>
      <w:r>
        <w:rPr>
          <w:bCs/>
          <w:b/>
        </w:rPr>
        <w:t xml:space="preserve">Influencer Collaboration:</w:t>
      </w:r>
      <w:r>
        <w:t xml:space="preserve"> </w:t>
      </w:r>
      <w:r>
        <w:t xml:space="preserve">Engaging local lifestyle influencers in</w:t>
      </w:r>
      <w:r>
        <w:t xml:space="preserve"> </w:t>
      </w:r>
      <w:r>
        <w:rPr>
          <w:iCs/>
          <w:i/>
        </w:rPr>
        <w:t xml:space="preserve">Mumbai</w:t>
      </w:r>
      <w:r>
        <w:t xml:space="preserve"> </w:t>
      </w:r>
      <w:r>
        <w:t xml:space="preserve">to promote the aesthetic and health benefits of proper optical care.</w:t>
      </w:r>
    </w:p>
    <w:bookmarkEnd w:id="28"/>
    <w:bookmarkStart w:id="29" w:name="challenges-and-risk-mitigation"/>
    <w:p>
      <w:pPr>
        <w:pStyle w:val="Heading2"/>
      </w:pPr>
      <w:r>
        <w:t xml:space="preserve">8. Challenges and Risk Mitigation</w:t>
      </w:r>
    </w:p>
    <w:p>
      <w:pPr>
        <w:pStyle w:val="FirstParagraph"/>
      </w:pPr>
      <w:r>
        <w:rPr>
          <w:bCs/>
          <w:b/>
        </w:rPr>
        <w:t xml:space="preserve">The Challenge:</w:t>
      </w:r>
    </w:p>
    <w:p>
      <w:pPr>
        <w:pStyle w:val="BodyText"/>
      </w:pPr>
      <w:r>
        <w:rPr>
          <w:iCs/>
          <w:i/>
        </w:rPr>
        <w:t xml:space="preserve">Mumbai’s</w:t>
      </w:r>
      <w:r>
        <w:br/>
      </w:r>
      <w:r>
        <w:t xml:space="preserve">intense competition from both legacy optical chains and unorganized sector retailers poses a significant risk. Additionally, the high cost of living in the city may make premium eye care services seem inaccessible to lower-income groups.</w:t>
      </w:r>
    </w:p>
    <w:p>
      <w:pPr>
        <w:pStyle w:val="BodyText"/>
      </w:pPr>
      <w:r>
        <w:rPr>
          <w:bCs/>
          <w:b/>
        </w:rPr>
        <w:t xml:space="preserve">The Mitigation:</w:t>
      </w:r>
    </w:p>
    <w:p>
      <w:pPr>
        <w:pStyle w:val="BodyText"/>
      </w:pPr>
      <w:r>
        <w:t xml:space="preserve">We will counter this by emphasizing value through superior diagnostic accuracy and after-sales service. Furthermore, we will introduce a tiered pricing structure for frames, ensuring that the professional expertise of our</w:t>
      </w:r>
      <w:r>
        <w:t xml:space="preserve"> </w:t>
      </w:r>
      <w:r>
        <w:rPr>
          <w:bCs/>
          <w:b/>
        </w:rPr>
        <w:t xml:space="preserve">Optometrist</w:t>
      </w:r>
      <w:r>
        <w:t xml:space="preserve"> </w:t>
      </w:r>
      <w:r>
        <w:t xml:space="preserve">remains accessible to various income brackets within</w:t>
      </w:r>
      <w:r>
        <w:t xml:space="preserve"> </w:t>
      </w:r>
      <w:r>
        <w:rPr>
          <w:iCs/>
          <w:i/>
        </w:rPr>
        <w:t xml:space="preserve">India Mumbai</w:t>
      </w:r>
      <w:r>
        <w:t xml:space="preserve">.</w:t>
      </w:r>
    </w:p>
    <w:bookmarkEnd w:id="29"/>
    <w:bookmarkStart w:id="30" w:name="conclusion"/>
    <w:p>
      <w:pPr>
        <w:pStyle w:val="Heading2"/>
      </w:pPr>
      <w:r>
        <w:t xml:space="preserve">9. Conclusion</w:t>
      </w:r>
    </w:p>
    <w:p>
      <w:pPr>
        <w:pStyle w:val="FirstParagraph"/>
      </w:pPr>
      <w:r>
        <w:t xml:space="preserve">The establishment of this comprehensive optometry practice represents a timely and necessary intervention in the healthcare landscape of</w:t>
      </w:r>
      <w:r>
        <w:t xml:space="preserve"> </w:t>
      </w:r>
      <w:r>
        <w:rPr>
          <w:bCs/>
          <w:b/>
        </w:rPr>
        <w:t xml:space="preserve">Mumbai, India</w:t>
      </w:r>
      <w:r>
        <w:t xml:space="preserve">. By combining advanced diagnostic technology with compassionate, patient-centric care provided by qualified</w:t>
      </w:r>
      <w:r>
        <w:t xml:space="preserve"> </w:t>
      </w:r>
      <w:r>
        <w:rPr>
          <w:bCs/>
          <w:b/>
        </w:rPr>
        <w:t xml:space="preserve">Optometrist</w:t>
      </w:r>
      <w:r>
        <w:t xml:space="preserve">s, we aim to set a new benchmark for eye health in the city. The projected growth in urban eye diseases makes this not just a viable business venture, but a crucial social contribution. This Project Report confirms that with strategic execution and local adaptation, our firm is poised to become the premier provider of optical care in one of Asia’s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Optometry Practice in India Mumbai</dc:title>
  <dc:creator/>
  <dc:language>en</dc:language>
  <cp:keywords/>
  <dcterms:created xsi:type="dcterms:W3CDTF">2026-07-29T16:34:36Z</dcterms:created>
  <dcterms:modified xsi:type="dcterms:W3CDTF">2026-07-29T16:34:36Z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