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Optometry</w:t>
      </w:r>
      <w:r>
        <w:t xml:space="preserve"> </w:t>
      </w:r>
      <w:r>
        <w:t xml:space="preserve">Service</w:t>
      </w:r>
      <w:r>
        <w:t xml:space="preserve"> </w:t>
      </w:r>
      <w:r>
        <w:t xml:space="preserve">in</w:t>
      </w:r>
      <w:r>
        <w:t xml:space="preserve"> </w:t>
      </w:r>
      <w:r>
        <w:t xml:space="preserve">Peru,</w:t>
      </w:r>
      <w:r>
        <w:t xml:space="preserve"> </w:t>
      </w:r>
      <w:r>
        <w:t xml:space="preserve">Lima</w:t>
      </w:r>
    </w:p>
    <w:bookmarkStart w:id="32" w:name="X815baedbfca421fbcffad1bd7696171271ae4c0"/>
    <w:p>
      <w:pPr>
        <w:pStyle w:val="Heading1"/>
      </w:pPr>
      <w:r>
        <w:t xml:space="preserve">Project Report: Establishing a Premier Optometry Service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p>
      <w:pPr>
        <w:pStyle w:val="BodyText"/>
      </w:pPr>
      <w:r>
        <w:t xml:space="preserve">This Project Report outlines the strategic framework for establishing a high-standard optometry practice in the bustling metropolitan area of Peru, Lima. As urbanization accelerates and lifestyle changes impact public health, the demand for professional ocular care has surged. This document details the operational plan, market analysis, regulatory compliance measures, and financial projections necessary to launch a successful optometry business in this vibrant Peruvian capital. The primary objective is to deliver accessible, high-quality eye care services that address both refractive errors and systemic health issues linked to vision.</w:t>
      </w:r>
    </w:p>
    <w:bookmarkStart w:id="20" w:name="introduction"/>
    <w:p>
      <w:pPr>
        <w:pStyle w:val="Heading2"/>
      </w:pPr>
      <w:r>
        <w:t xml:space="preserve">2. Introduction</w:t>
      </w:r>
    </w:p>
    <w:p>
      <w:pPr>
        <w:pStyle w:val="FirstParagraph"/>
      </w:pPr>
      <w:r>
        <w:t xml:space="preserve">Lima, the capital of Peru, is a city characterized by rapid demographic growth and evolving healthcare needs. With a population exceeding nine million residents in the metropolitan area, the infrastructure for specialized medical care must expand to meet rising expectations. Vision care is no longer considered a luxury but a fundamental component of overall health. This Project Report focuses on creating an optometry center that combines advanced diagnostic technology with compassionate patient care, tailored specifically to the unique socio-economic and geographical context of Peru.</w:t>
      </w:r>
    </w:p>
    <w:bookmarkEnd w:id="20"/>
    <w:bookmarkStart w:id="23" w:name="market-analysis-in-peru-lima"/>
    <w:p>
      <w:pPr>
        <w:pStyle w:val="Heading2"/>
      </w:pPr>
      <w:r>
        <w:t xml:space="preserve">3. Market Analysis in Peru, Lima</w:t>
      </w:r>
    </w:p>
    <w:bookmarkStart w:id="21" w:name="demographic-trends"/>
    <w:p>
      <w:pPr>
        <w:pStyle w:val="Heading3"/>
      </w:pPr>
      <w:r>
        <w:t xml:space="preserve">3.1 Demographic Trends</w:t>
      </w:r>
    </w:p>
    <w:p>
      <w:pPr>
        <w:pStyle w:val="FirstParagraph"/>
      </w:pPr>
      <w:r>
        <w:t xml:space="preserve">Lima is undergoing a significant demographic shift. The middle class is expanding, leading to increased disposable income for healthcare services. Simultaneously, the aging population requires more frequent vision screenings due to age-related conditions such as cataracts and macular degeneration. Furthermore, the widespread use of digital devices among younger demographics in Lima has led to a sharp rise in digital eye strain and myopia progression.</w:t>
      </w:r>
    </w:p>
    <w:bookmarkEnd w:id="21"/>
    <w:bookmarkStart w:id="22" w:name="competitive-landscape"/>
    <w:p>
      <w:pPr>
        <w:pStyle w:val="Heading3"/>
      </w:pPr>
      <w:r>
        <w:t xml:space="preserve">3.2 Competitive Landscape</w:t>
      </w:r>
    </w:p>
    <w:p>
      <w:pPr>
        <w:pStyle w:val="FirstParagraph"/>
      </w:pPr>
      <w:r>
        <w:t xml:space="preserve">The current market for optometry services in Peru, Lima is fragmented. While there are numerous private clinics and optical chains, few offer a holistic approach that integrates comprehensive eye exams with personalized education on eye health. Most existing facilities focus heavily on sales rather than clinical excellence. This gap presents a significant opportunity for our Project to position itself as a premium healthcare provider rather than just an optical retailer.</w:t>
      </w:r>
    </w:p>
    <w:bookmarkEnd w:id="22"/>
    <w:bookmarkEnd w:id="23"/>
    <w:bookmarkStart w:id="27" w:name="operational-strategy"/>
    <w:p>
      <w:pPr>
        <w:pStyle w:val="Heading2"/>
      </w:pPr>
      <w:r>
        <w:t xml:space="preserve">4. Operational Strategy</w:t>
      </w:r>
    </w:p>
    <w:p>
      <w:pPr>
        <w:pStyle w:val="FirstParagraph"/>
      </w:pPr>
      <w:r>
        <w:t xml:space="preserve">To ensure the success of this optometry initiative in Peru, Lima, the operational model will be built on three pillars: clinical excellence, technological integration, and community engagement.</w:t>
      </w:r>
    </w:p>
    <w:bookmarkStart w:id="24" w:name="facility-location-and-design"/>
    <w:p>
      <w:pPr>
        <w:pStyle w:val="Heading3"/>
      </w:pPr>
      <w:r>
        <w:t xml:space="preserve">4.1 Facility Location and Design</w:t>
      </w:r>
    </w:p>
    <w:p>
      <w:pPr>
        <w:pStyle w:val="FirstParagraph"/>
      </w:pPr>
      <w:r>
        <w:t xml:space="preserve">The selected location will be in a high-traffic commercial district within Lima Province. The facility design will prioritize accessibility for individuals with visual impairments, featuring braille signage and audio assistance tools. The interior layout will include dedicated consultation rooms to ensure patient privacy during detailed eye examinations.</w:t>
      </w:r>
    </w:p>
    <w:bookmarkEnd w:id="24"/>
    <w:bookmarkStart w:id="25" w:name="technological-infrastructure"/>
    <w:p>
      <w:pPr>
        <w:pStyle w:val="Heading3"/>
      </w:pPr>
      <w:r>
        <w:t xml:space="preserve">4.2 Technological Infrastructure</w:t>
      </w:r>
    </w:p>
    <w:p>
      <w:pPr>
        <w:pStyle w:val="FirstParagraph"/>
      </w:pPr>
      <w:r>
        <w:t xml:space="preserve">Cutting-edge technology is essential for accurate diagnosis in modern optometry. The facility will be equipped with:</w:t>
      </w:r>
    </w:p>
    <w:p>
      <w:pPr>
        <w:numPr>
          <w:ilvl w:val="0"/>
          <w:numId w:val="1001"/>
        </w:numPr>
        <w:pStyle w:val="Compact"/>
      </w:pPr>
      <w:r>
        <w:rPr>
          <w:bCs/>
          <w:b/>
        </w:rPr>
        <w:t xml:space="preserve">OCT (Optical Coherence Tomography):</w:t>
      </w:r>
      <w:r>
        <w:t xml:space="preserve"> </w:t>
      </w:r>
      <w:r>
        <w:t xml:space="preserve">For detailed imaging of the retina and optic nerve.</w:t>
      </w:r>
    </w:p>
    <w:p>
      <w:pPr>
        <w:numPr>
          <w:ilvl w:val="0"/>
          <w:numId w:val="1001"/>
        </w:numPr>
        <w:pStyle w:val="Compact"/>
      </w:pPr>
      <w:r>
        <w:rPr>
          <w:bCs/>
          <w:b/>
        </w:rPr>
        <w:t xml:space="preserve">Digital Retinoscopy:</w:t>
      </w:r>
      <w:r>
        <w:t xml:space="preserve"> </w:t>
      </w:r>
      <w:r>
        <w:t xml:space="preserve">To provide precise refractive measurements.</w:t>
      </w:r>
    </w:p>
    <w:p>
      <w:pPr>
        <w:numPr>
          <w:ilvl w:val="0"/>
          <w:numId w:val="1001"/>
        </w:numPr>
        <w:pStyle w:val="Compact"/>
      </w:pPr>
      <w:r>
        <w:rPr>
          <w:bCs/>
          <w:b/>
        </w:rPr>
        <w:t xml:space="preserve">Tonometry Devices:</w:t>
      </w:r>
      <w:r>
        <w:t xml:space="preserve"> </w:t>
      </w:r>
      <w:r>
        <w:t xml:space="preserve">Non-contact methods to screen for glaucoma efficiently.</w:t>
      </w:r>
    </w:p>
    <w:bookmarkEnd w:id="25"/>
    <w:bookmarkStart w:id="26" w:name="staffing-and-training"/>
    <w:p>
      <w:pPr>
        <w:pStyle w:val="Heading3"/>
      </w:pPr>
      <w:r>
        <w:t xml:space="preserve">4.3 Staffing and Training</w:t>
      </w:r>
    </w:p>
    <w:p>
      <w:pPr>
        <w:pStyle w:val="FirstParagraph"/>
      </w:pPr>
      <w:r>
        <w:t xml:space="preserve">The team will consist of licensed optometrists, optical technicians, and administrative staff. Continuous professional development is crucial; therefore, the project includes a budget for ongoing training in the latest optometric techniques and customer service excellence tailored to Peruvian cultural nuances.</w:t>
      </w:r>
    </w:p>
    <w:bookmarkEnd w:id="26"/>
    <w:bookmarkEnd w:id="27"/>
    <w:bookmarkStart w:id="28" w:name="X4bc4b1c7ef29040b8a00b7c589cb9a284653636"/>
    <w:p>
      <w:pPr>
        <w:pStyle w:val="Heading2"/>
      </w:pPr>
      <w:r>
        <w:t xml:space="preserve">5. Regulatory Compliance and Legal Framework</w:t>
      </w:r>
    </w:p>
    <w:p>
      <w:pPr>
        <w:pStyle w:val="FirstParagraph"/>
      </w:pPr>
      <w:r>
        <w:t xml:space="preserve">Operating an optometry business in Peru requires strict adherence to national health regulations. The Ministry of Health (MINSA) sets specific standards for medical facilities. This Project Report emphasizes the importance of securing all necessary licenses, including:</w:t>
      </w:r>
    </w:p>
    <w:p>
      <w:pPr>
        <w:pStyle w:val="BodyText"/>
      </w:pPr>
      <w:r>
        <w:rPr>
          <w:bCs/>
          <w:b/>
        </w:rPr>
        <w:t xml:space="preserve">Licencia de Funcionamiento:</w:t>
      </w:r>
      <w:r>
        <w:t xml:space="preserve"> </w:t>
      </w:r>
      <w:r>
        <w:t xml:space="preserve">Operational permit from the local municipality in Lima.</w:t>
      </w:r>
    </w:p>
    <w:p>
      <w:pPr>
        <w:pStyle w:val="BodyText"/>
      </w:pPr>
      <w:r>
        <w:rPr>
          <w:bCs/>
          <w:b/>
        </w:rPr>
        <w:t xml:space="preserve">Aprobación Sanitaria:</w:t>
      </w:r>
      <w:r>
        <w:t xml:space="preserve"> </w:t>
      </w:r>
      <w:r>
        <w:t xml:space="preserve">Health approval ensuring sanitary conditions meet national standards.</w:t>
      </w:r>
    </w:p>
    <w:p>
      <w:pPr>
        <w:pStyle w:val="BodyText"/>
      </w:pPr>
      <w:r>
        <w:rPr>
          <w:bCs/>
          <w:b/>
        </w:rPr>
        <w:t xml:space="preserve">Colegio de Optometristas del Perú Registration:</w:t>
      </w:r>
    </w:p>
    <w:p>
      <w:pPr>
        <w:pStyle w:val="BodyText"/>
      </w:pPr>
      <w:r>
        <w:t xml:space="preserve">All medical equipment must be certified, and personnel must hold valid professional licenses issued by the relevant Peruvian authorities. Compliance with data protection laws regarding patient records is also mandatory.</w:t>
      </w:r>
    </w:p>
    <w:bookmarkEnd w:id="28"/>
    <w:bookmarkStart w:id="29" w:name="financial-projections"/>
    <w:p>
      <w:pPr>
        <w:pStyle w:val="Heading2"/>
      </w:pPr>
      <w:r>
        <w:t xml:space="preserve">6. Financial Projections</w:t>
      </w:r>
    </w:p>
    <w:p>
      <w:pPr>
        <w:pStyle w:val="FirstParagraph"/>
      </w:pPr>
      <w:r>
        <w:t xml:space="preserve">The financial model for this optometry project in Peru, Lima is conservative yet ambitious. Initial capital expenditure covers leasing the facility, purchasing medical equipment, and marketing campaigns. Revenue streams include consultation fees, sales of prescription eyewear and contact lenses, and specialized services such as dry eye treatment.</w:t>
      </w:r>
    </w:p>
    <w:p>
      <w:pPr>
        <w:pStyle w:val="BodyText"/>
      </w:pPr>
      <w:r>
        <w:t xml:space="preserve">Break-even analysis suggests a profitability timeline of eighteen months post-launch. Given the growing demand for preventive healthcare in Lima, revenue is projected to grow by 15% annually over the first three years. Cost management strategies include bulk purchasing agreements with international eyewear suppliers and efficient inventory management systems.</w:t>
      </w:r>
    </w:p>
    <w:bookmarkEnd w:id="29"/>
    <w:bookmarkStart w:id="30" w:name="Xe476258ab5f17f4407d1c16cf118675244326d8"/>
    <w:p>
      <w:pPr>
        <w:pStyle w:val="Heading2"/>
      </w:pPr>
      <w:r>
        <w:t xml:space="preserve">7. Community Impact and Social Responsibility</w:t>
      </w:r>
    </w:p>
    <w:p>
      <w:pPr>
        <w:pStyle w:val="FirstParagraph"/>
      </w:pPr>
      <w:r>
        <w:t xml:space="preserve">A core value of this project is social responsibility. Recognizing the health disparities in certain regions of Peru, Lima, a portion of our profits will be allocated to community outreach programs. These initiatives will include free vision screenings for school children and low-income seniors in underserved districts surrounding Lima. By addressing preventable blindness and improving literacy through better vision, we contribute directly to the social development of Peru.</w:t>
      </w:r>
    </w:p>
    <w:bookmarkEnd w:id="30"/>
    <w:bookmarkStart w:id="31" w:name="risk-management"/>
    <w:p>
      <w:pPr>
        <w:pStyle w:val="Heading2"/>
      </w:pPr>
      <w:r>
        <w:t xml:space="preserve">8. Risk Management</w:t>
      </w:r>
    </w:p>
    <w:p>
      <w:pPr>
        <w:pStyle w:val="FirstParagraph"/>
      </w:pPr>
      <w:r>
        <w:t xml:space="preserve">Risks associated with this project include economic fluctuations affecting consumer spending in Lima and potential supply chain disruptions for imported optical equipment. To mitigate these risks:</w:t>
      </w:r>
    </w:p>
    <w:p>
      <w:pPr>
        <w:pStyle w:val="BodyText"/>
      </w:pPr>
      <w:r>
        <w:rPr>
          <w:bCs/>
          <w:b/>
        </w:rPr>
        <w:t xml:space="preserve">Diversification:</w:t>
      </w:r>
    </w:p>
    <w:p>
      <w:pPr>
        <w:pStyle w:val="BodyText"/>
      </w:pPr>
      <w:r>
        <w:t xml:space="preserve">p&gt;We will offer a range of price points to cater to different economic segments.</w:t>
      </w:r>
    </w:p>
    <w:p>
      <w:pPr>
        <w:pStyle w:val="BodyText"/>
      </w:pPr>
      <w:r>
        <w:rPr>
          <w:bCs/>
          <w:b/>
        </w:rPr>
        <w:t xml:space="preserve">Supplier Relationships:</w:t>
      </w:r>
    </w:p>
    <w:p>
      <w:pPr>
        <w:pStyle w:val="BodyText"/>
      </w:pPr>
      <w:r>
        <w:t xml:space="preserve">p&gt;We will establish relationships with multiple suppliers to ensure continuity of stock.</w:t>
      </w:r>
    </w:p>
    <w:p>
      <w:pPr>
        <w:pStyle w:val="BodyText"/>
      </w:pPr>
      <w:r>
        <w:t xml:space="preserve">9. ConclusionThe establishment of this optometry service in Peru, Lima represents a timely and necessary intervention in the local healthcare landscape. By combining advanced clinical practices with a deep understanding of the Peruvian market, we are poised to meet the growing demand for high-quality eye care. This Project Report demonstrates that with strategic planning, rigorous compliance, and a patient-centered approach, this venture will not only achieve financial sustainability but also deliver significant social value to the communities of Lima.</w:t>
      </w:r>
    </w:p>
    <w:p>
      <w:pPr>
        <w:pStyle w:val="BodyText"/>
      </w:pPr>
      <w:r>
        <w:t xml:space="preserve">We recommend immediate approval of the initial funding phase to begin site selection and regulatory applications. The future of vision health in Peru looks brighter with this initiative at its forefront.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Optometry Service in Peru, Lima</dc:title>
  <dc:creator/>
  <dc:language>en</dc:language>
  <cp:keywords/>
  <dcterms:created xsi:type="dcterms:W3CDTF">2026-07-29T04:42:22Z</dcterms:created>
  <dcterms:modified xsi:type="dcterms:W3CDTF">2026-07-29T04:42:22Z</dcterms:modified>
</cp:coreProperties>
</file>

<file path=docProps/custom.xml><?xml version="1.0" encoding="utf-8"?>
<Properties xmlns="http://schemas.openxmlformats.org/officeDocument/2006/custom-properties" xmlns:vt="http://schemas.openxmlformats.org/officeDocument/2006/docPropsVTypes"/>
</file>