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Orthodontic</w:t>
      </w:r>
      <w:r>
        <w:t xml:space="preserve"> </w:t>
      </w:r>
      <w:r>
        <w:t xml:space="preserve">Clinic</w:t>
      </w:r>
      <w:r>
        <w:t xml:space="preserve"> </w:t>
      </w:r>
      <w:r>
        <w:t xml:space="preserve">in</w:t>
      </w:r>
      <w:r>
        <w:t xml:space="preserve"> </w:t>
      </w:r>
      <w:r>
        <w:t xml:space="preserve">Colombia,</w:t>
      </w:r>
      <w:r>
        <w:t xml:space="preserve"> </w:t>
      </w:r>
      <w:r>
        <w:t xml:space="preserve">Bogotá</w:t>
      </w:r>
    </w:p>
    <w:bookmarkStart w:id="33" w:name="X9220777b1ae49af57043b63f7803901f03df28c"/>
    <w:p>
      <w:pPr>
        <w:pStyle w:val="Heading1"/>
      </w:pPr>
      <w:r>
        <w:t xml:space="preserve">Project Report: Establishment and Strategic Implementation of a Specialized Orthodontic Clinic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Team</w:t>
      </w:r>
      <w:r>
        <w:br/>
      </w:r>
      <w:r>
        <w:rPr>
          <w:iCs/>
          <w:i/>
          <w:vertAlign w:val="subscript"/>
        </w:rPr>
        <w:t xml:space="preserve">Note: This document is written in English as per instructional requirements.</w:t>
      </w:r>
      <w:r>
        <w:br/>
      </w:r>
    </w:p>
    <w:bookmarkStart w:id="20" w:name="executive-summary"/>
    <w:p>
      <w:pPr>
        <w:pStyle w:val="Heading2"/>
      </w:pPr>
      <w:r>
        <w:t xml:space="preserve">1. Executive Summary</w:t>
      </w:r>
    </w:p>
    <w:p>
      <w:pPr>
        <w:pStyle w:val="FirstParagraph"/>
      </w:pPr>
      <w:r>
        <w:t xml:space="preserve">The primary objective of this project report is to outline the comprehensive strategy for launching a high-end orthodontic practice within the dynamic healthcare sector of Colombia, specifically targeting the capital city, Bogotá. This document serves as a foundational blueprint for stakeholders interested in establishing an Orthodontist-led clinic that addresses the growing demand for aesthetic and functional dental care in one of South America's most populous urban centers. The analysis covers market dynamics, regulatory compliance under Colombian law, competitive positioning within Bogotá’s healthcare landscape, operational logistics, and financial projections.</w:t>
      </w:r>
    </w:p>
    <w:p>
      <w:pPr>
        <w:pStyle w:val="BodyText"/>
      </w:pPr>
      <w:r>
        <w:t xml:space="preserve">Bogotá has emerged as a significant hub for medical tourism and private healthcare services in Latin America. As the economic and cultural heart of Colombia Bogotá offers a unique convergence of high-income demographics seeking premium health services and a robust infrastructure that supports advanced medical technologies. This project aims to leverage these factors by introducing an Orthodontist facility that combines cutting-edge digital scanning technology with personalized patient care, thereby distinguishing itself from traditional dental offices in the region.</w:t>
      </w:r>
    </w:p>
    <w:bookmarkEnd w:id="20"/>
    <w:bookmarkStart w:id="24" w:name="X4d95da6ad370a901e47a50d30056d84bbd1b2db"/>
    <w:p>
      <w:pPr>
        <w:pStyle w:val="Heading2"/>
      </w:pPr>
      <w:r>
        <w:t xml:space="preserve">2. Market Analysis and Opportunity in Colombia Bogotá</w:t>
      </w:r>
    </w:p>
    <w:bookmarkStart w:id="21" w:name="demographic-drivers"/>
    <w:p>
      <w:pPr>
        <w:pStyle w:val="Heading3"/>
      </w:pPr>
      <w:r>
        <w:t xml:space="preserve">Demographic Drivers</w:t>
      </w:r>
    </w:p>
    <w:p>
      <w:pPr>
        <w:pStyle w:val="FirstParagraph"/>
      </w:pPr>
      <w:r>
        <w:t xml:space="preserve">The population of Colombia Bogotá exceeds eight million inhabitants, with a substantial portion living in middle-to-upper socioeconomic strata (Strata 4, 5, and 6). These demographics are increasingly concerned with oral aesthetics and hygiene. There is a noticeable shift in consumer behavior where orthodontic treatment is no longer viewed solely as a pediatric necessity for correcting malocclusions but rather as an adult elective procedure for cosmetic enhancement.</w:t>
      </w:r>
    </w:p>
    <w:bookmarkEnd w:id="21"/>
    <w:bookmarkStart w:id="22" w:name="growth-trends-in-orthodontics"/>
    <w:p>
      <w:pPr>
        <w:pStyle w:val="Heading3"/>
      </w:pPr>
      <w:r>
        <w:t xml:space="preserve">Growth Trends in Orthodontics</w:t>
      </w:r>
    </w:p>
    <w:p>
      <w:pPr>
        <w:pStyle w:val="FirstParagraph"/>
      </w:pPr>
      <w:r>
        <w:t xml:space="preserve">In recent years, the demand for invisible aligners and minimally invasive orthodontic procedures has surged. Patients in Colombia Bogotá are becoming more informed about global dental trends, often seeking clinics that offer technologies comparable to those available in North America or Europe. However, cost differentials make private healthcare in Colombia highly attractive even to local residents who previously traveled abroad for such treatments.</w:t>
      </w:r>
    </w:p>
    <w:bookmarkEnd w:id="22"/>
    <w:bookmarkStart w:id="23" w:name="competitive-landscape"/>
    <w:p>
      <w:pPr>
        <w:pStyle w:val="Heading3"/>
      </w:pPr>
      <w:r>
        <w:t xml:space="preserve">Competitive Landscape</w:t>
      </w:r>
    </w:p>
    <w:p>
      <w:pPr>
        <w:pStyle w:val="FirstParagraph"/>
      </w:pPr>
      <w:r>
        <w:t xml:space="preserve">The current market in Colombia Bogotá is fragmented. While there are established dental hospitals and general practitioners offering orthodontic services, few specialize exclusively as a dedicated Orthodontist clinic with a holistic approach to facial aesthetics and airway health. This gap presents a strategic opportunity for our project to capture market share by positioning the brand as a specialist center rather than a general dental office.</w:t>
      </w:r>
    </w:p>
    <w:bookmarkEnd w:id="23"/>
    <w:bookmarkEnd w:id="24"/>
    <w:bookmarkStart w:id="25" w:name="regulatory-and-legal-framework"/>
    <w:p>
      <w:pPr>
        <w:pStyle w:val="Heading2"/>
      </w:pPr>
      <w:r>
        <w:t xml:space="preserve">3. Regulatory and Legal Framework</w:t>
      </w:r>
    </w:p>
    <w:p>
      <w:pPr>
        <w:pStyle w:val="FirstParagraph"/>
      </w:pPr>
      <w:r>
        <w:t xml:space="preserve">Operating in Colombia requires strict adherence to local regulations. The health sector is overseen by the Ministry of Health and Social Protection (</w:t>
      </w:r>
      <w:r>
        <w:rPr>
          <w:iCs/>
          <w:i/>
        </w:rPr>
        <w:t xml:space="preserve">Ministerio de Salud y Protección Social</w:t>
      </w:r>
      <w:r>
        <w:t xml:space="preserve">). For this Orthodontist project, several key legal aspects must be addressed:</w:t>
      </w:r>
    </w:p>
    <w:p>
      <w:pPr>
        <w:numPr>
          <w:ilvl w:val="0"/>
          <w:numId w:val="1001"/>
        </w:numPr>
        <w:pStyle w:val="Compact"/>
      </w:pPr>
      <w:r>
        <w:rPr>
          <w:bCs/>
          <w:b/>
        </w:rPr>
        <w:t xml:space="preserve">Licensure:</w:t>
      </w:r>
      <w:r>
        <w:t xml:space="preserve"> </w:t>
      </w:r>
      <w:r>
        <w:t xml:space="preserve">The principal Orthodontist must hold a valid license issued by the Ministry of Health and possess specialized certification recognized by the Colombian College of Orthodontics (</w:t>
      </w:r>
      <w:r>
        <w:rPr>
          <w:iCs/>
          <w:i/>
        </w:rPr>
        <w:t xml:space="preserve">Colegio Colombiano de Ortodoncia</w:t>
      </w:r>
      <w:r>
        <w:t xml:space="preserve">).</w:t>
      </w:r>
    </w:p>
    <w:p>
      <w:pPr>
        <w:numPr>
          <w:ilvl w:val="0"/>
          <w:numId w:val="1001"/>
        </w:numPr>
        <w:pStyle w:val="Compact"/>
      </w:pPr>
      <w:r>
        <w:rPr>
          <w:bCs/>
          <w:b/>
        </w:rPr>
        <w:t xml:space="preserve">FNS Registration:</w:t>
      </w:r>
      <w:r>
        <w:t xml:space="preserve">The clinic must register with the Single Registry of Health Establishments and Services (RUES) to legally operate.</w:t>
      </w:r>
    </w:p>
    <w:p>
      <w:pPr>
        <w:numPr>
          <w:ilvl w:val="0"/>
          <w:numId w:val="1001"/>
        </w:numPr>
        <w:pStyle w:val="Compact"/>
      </w:pPr>
      <w:r>
        <w:rPr>
          <w:bCs/>
          <w:b/>
        </w:rPr>
        <w:t xml:space="preserve">Data Protection:</w:t>
      </w:r>
      <w:r>
        <w:t xml:space="preserve">Patient data management must comply with Statute 1581 of 2012 regarding personal data protection, ensuring HIPAA-like standards are met within the Colombian legal context.</w:t>
      </w:r>
    </w:p>
    <w:p>
      <w:pPr>
        <w:numPr>
          <w:ilvl w:val="0"/>
          <w:numId w:val="1001"/>
        </w:numPr>
        <w:pStyle w:val="Compact"/>
      </w:pPr>
      <w:r>
        <w:rPr>
          <w:bCs/>
          <w:b/>
        </w:rPr>
        <w:t xml:space="preserve">Tax Compliance:</w:t>
      </w:r>
      <w:r>
        <w:t xml:space="preserve">The entity must be structured correctly (either as a limited liability company or corporation) to handle VAT (</w:t>
      </w:r>
      <w:r>
        <w:rPr>
          <w:iCs/>
          <w:i/>
        </w:rPr>
        <w:t xml:space="preserve">IVA</w:t>
      </w:r>
      <w:r>
        <w:t xml:space="preserve">) and income tax obligations specific to healthcare services in Colombia.</w:t>
      </w:r>
    </w:p>
    <w:bookmarkEnd w:id="25"/>
    <w:bookmarkStart w:id="28" w:name="operational-strategy-and-location"/>
    <w:p>
      <w:pPr>
        <w:pStyle w:val="Heading2"/>
      </w:pPr>
      <w:r>
        <w:t xml:space="preserve">4. Operational Strategy and Location</w:t>
      </w:r>
    </w:p>
    <w:bookmarkStart w:id="26" w:name="Xc42ef4972c86ad5171df6fbf88ba88ffc54dede"/>
    <w:p>
      <w:pPr>
        <w:pStyle w:val="Heading3"/>
      </w:pPr>
      <w:r>
        <w:t xml:space="preserve">Selecting the Right Neighborhood in Bogotá</w:t>
      </w:r>
    </w:p>
    <w:p>
      <w:pPr>
        <w:pStyle w:val="FirstParagraph"/>
      </w:pPr>
      <w:r>
        <w:t xml:space="preserve">The choice of location is critical for success in Colombia Bogotá. We propose establishing the clinic in either the Teusaquillo or Chapinero districts, specifically along Carrera Séptima or Avenida NQS. These areas are characterized by high foot traffic, proximity to corporate offices, and a dense population of residents with disposable income.</w:t>
      </w:r>
    </w:p>
    <w:bookmarkEnd w:id="26"/>
    <w:bookmarkStart w:id="27" w:name="technological-integration"/>
    <w:p>
      <w:pPr>
        <w:pStyle w:val="Heading3"/>
      </w:pPr>
      <w:r>
        <w:t xml:space="preserve">Technological Integration</w:t>
      </w:r>
    </w:p>
    <w:p>
      <w:pPr>
        <w:pStyle w:val="FirstParagraph"/>
      </w:pPr>
      <w:r>
        <w:t xml:space="preserve">To differentiate the Orthodontist brand in Colombia Bogotá, the clinic will invest in intraoral 3D scanners (such as iTero or Trios) rather than traditional impression materials. This not only improves patient comfort but also allows for immediate visualization of treatment plans via augmented reality, a feature that highly appeals to tech-savvy clients in major cities.</w:t>
      </w:r>
    </w:p>
    <w:bookmarkEnd w:id="27"/>
    <w:bookmarkEnd w:id="28"/>
    <w:bookmarkStart w:id="29" w:name="marketing-and-patient-acquisition"/>
    <w:p>
      <w:pPr>
        <w:pStyle w:val="Heading2"/>
      </w:pPr>
      <w:r>
        <w:t xml:space="preserve">5. Marketing and Patient Acquisition</w:t>
      </w:r>
    </w:p>
    <w:p>
      <w:pPr>
        <w:pStyle w:val="FirstParagraph"/>
      </w:pPr>
      <w:r>
        <w:t xml:space="preserve">The marketing strategy for this Orthodontist project will focus on digital presence and community engagement. Given the high smartphone penetration in Colombia Bogotá, social media platforms like Instagram, TikTok, and LinkedIn will be utilized to showcase before-and-after transformations, patient testimonials, and educational content regarding oral health.</w:t>
      </w:r>
    </w:p>
    <w:p>
      <w:pPr>
        <w:pStyle w:val="BodyText"/>
      </w:pPr>
      <w:r>
        <w:t xml:space="preserve">Additionally partnerships with local cosmetic dermatology clinics and medical aesthetic centers will be pursued. This cross-referral network is particularly effective in affluent neighborhoods of Bogotá where patients often seek multiple aesthetic enhancements simultaneously. Educational webinars in English and Spanish will also cater to the expatriate community and medical tourists visiting Colombia.</w:t>
      </w:r>
    </w:p>
    <w:bookmarkEnd w:id="29"/>
    <w:bookmarkStart w:id="30" w:name="financial-projections"/>
    <w:p>
      <w:pPr>
        <w:pStyle w:val="Heading2"/>
      </w:pPr>
      <w:r>
        <w:t xml:space="preserve">6. Financial Projections</w:t>
      </w:r>
    </w:p>
    <w:p>
      <w:pPr>
        <w:pStyle w:val="FirstParagraph"/>
      </w:pPr>
      <w:r>
        <w:t xml:space="preserve">The initial capital expenditure includes leasing facilities in prime Bogotá real estate, purchasing advanced orthodontic equipment, obtaining necessary permits, and marketing launch costs. The revenue model is based on direct payments from patients as well as contracts with major Colombian health insurers (</w:t>
      </w:r>
      <w:r>
        <w:rPr>
          <w:iCs/>
          <w:i/>
        </w:rPr>
        <w:t xml:space="preserve">EPS</w:t>
      </w:r>
      <w:r>
        <w:t xml:space="preserve">) such as Sanitas, Sura, and Novamed for insured cases.</w:t>
      </w:r>
    </w:p>
    <w:p>
      <w:pPr>
        <w:pStyle w:val="BodyText"/>
      </w:pPr>
      <w:r>
        <w:t xml:space="preserve">Preliminary analysis suggests a break-even point within the first 18 months of operation. The average cost per orthodontic case in Colombia Bogotá ranges significantly lower than in the United States but remains profitable due to lower operational overheads compared to other Latin American capitals. It is projected that the clinic will serve approximately 40 new patients per month by the end of year two.</w:t>
      </w:r>
    </w:p>
    <w:bookmarkEnd w:id="30"/>
    <w:bookmarkStart w:id="31" w:name="risks-and-mitigation"/>
    <w:p>
      <w:pPr>
        <w:pStyle w:val="Heading2"/>
      </w:pPr>
      <w:r>
        <w:t xml:space="preserve">7. Risks and Mitigation</w:t>
      </w:r>
    </w:p>
    <w:p>
      <w:pPr>
        <w:numPr>
          <w:ilvl w:val="0"/>
          <w:numId w:val="1002"/>
        </w:numPr>
        <w:pStyle w:val="Compact"/>
      </w:pPr>
      <w:r>
        <w:rPr>
          <w:bCs/>
          <w:b/>
        </w:rPr>
        <w:t xml:space="preserve">Economic Volatility:</w:t>
      </w:r>
      <w:r>
        <w:t xml:space="preserve">Inflation in Colombia can impact operational costs. Mitigation involves securing fixed-term leases and maintaining a diverse revenue stream across private and insured patients.</w:t>
      </w:r>
    </w:p>
    <w:p>
      <w:pPr>
        <w:numPr>
          <w:ilvl w:val="0"/>
          <w:numId w:val="1002"/>
        </w:numPr>
        <w:pStyle w:val="Compact"/>
      </w:pPr>
      <w:r>
        <w:rPr>
          <w:bCs/>
          <w:b/>
        </w:rPr>
        <w:t xml:space="preserve">Talent Retention:</w:t>
      </w:r>
      <w:r>
        <w:t xml:space="preserve">Finding qualified Orthodontist specialists in Colombia Bogotá can be competitive. We will offer attractive compensation packages and continuous professional development opportunities to retain top talent.</w:t>
      </w:r>
    </w:p>
    <w:p>
      <w:pPr>
        <w:numPr>
          <w:ilvl w:val="0"/>
          <w:numId w:val="1002"/>
        </w:numPr>
        <w:pStyle w:val="Compact"/>
      </w:pPr>
      <w:r>
        <w:rPr>
          <w:bCs/>
          <w:b/>
        </w:rPr>
        <w:t xml:space="preserve">Cybersecurity:</w:t>
      </w:r>
      <w:r>
        <w:t xml:space="preserve">Given the digital nature of modern orthodontics, robust cybersecurity measures must be implemented to protect patient records from data breaches.</w:t>
      </w:r>
    </w:p>
    <w:bookmarkEnd w:id="31"/>
    <w:bookmarkStart w:id="32" w:name="conclusion"/>
    <w:p>
      <w:pPr>
        <w:pStyle w:val="Heading2"/>
      </w:pPr>
      <w:r>
        <w:t xml:space="preserve">8. Conclusion</w:t>
      </w:r>
    </w:p>
    <w:p>
      <w:pPr>
        <w:pStyle w:val="FirstParagraph"/>
      </w:pPr>
      <w:r>
        <w:t xml:space="preserve">The establishment of a specialized Orthodontist clinic in Colombia Bogotá represents a timely and lucrative investment opportunity. The combination of rising aesthetic awareness among the population, an improving healthcare infrastructure, and a strategic location in one of South America’s most vibrant cities creates favorable conditions for success.</w:t>
      </w:r>
    </w:p>
    <w:p>
      <w:pPr>
        <w:pStyle w:val="BodyText"/>
      </w:pPr>
      <w:r>
        <w:t xml:space="preserve">By adhering to strict regulatory standards, leveraging advanced technology, and implementing a targeted marketing strategy tailored to the unique cultural and economic nuances of Colombia Bogotá this project is poised to become a market leader. We recommend proceeding with the detailed feasibility study and securing initial funding commitments based on the positive indicators presented in this report.</w:t>
      </w:r>
    </w:p>
    <w:p>
      <w:r>
        <w:pict>
          <v:rect style="width:0;height:1.5pt" o:hralign="center" o:hrstd="t" o:hr="t"/>
        </w:pict>
      </w:r>
    </w:p>
    <w:p>
      <w:pPr>
        <w:pStyle w:val="FirstParagraph"/>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Strategic Implementation of a Specialized Orthodontic Clinic in Colombia, Bogotá</dc:title>
  <dc:creator/>
  <cp:keywords/>
  <dcterms:created xsi:type="dcterms:W3CDTF">2026-07-29T14:35:24Z</dcterms:created>
  <dcterms:modified xsi:type="dcterms:W3CDTF">2026-07-29T14:35:24Z</dcterms:modified>
</cp:coreProperties>
</file>

<file path=docProps/custom.xml><?xml version="1.0" encoding="utf-8"?>
<Properties xmlns="http://schemas.openxmlformats.org/officeDocument/2006/custom-properties" xmlns:vt="http://schemas.openxmlformats.org/officeDocument/2006/docPropsVTypes"/>
</file>