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Orthodontic</w:t>
      </w:r>
      <w:r>
        <w:t xml:space="preserve"> </w:t>
      </w:r>
      <w:r>
        <w:t xml:space="preserve">Practice</w:t>
      </w:r>
      <w:r>
        <w:t xml:space="preserve"> </w:t>
      </w:r>
      <w:r>
        <w:t xml:space="preserve">in</w:t>
      </w:r>
      <w:r>
        <w:t xml:space="preserve"> </w:t>
      </w:r>
      <w:r>
        <w:t xml:space="preserve">Germany,</w:t>
      </w:r>
      <w:r>
        <w:t xml:space="preserve"> </w:t>
      </w:r>
      <w:r>
        <w:t xml:space="preserve">Munich</w:t>
      </w:r>
    </w:p>
    <w:bookmarkStart w:id="32" w:name="Xa84e9443d33386b3facd1881e69360456c4dd8a"/>
    <w:p>
      <w:pPr>
        <w:pStyle w:val="Heading1"/>
      </w:pPr>
      <w:r>
        <w:t xml:space="preserve">Project Report: Establishment of a Specialized Orthodontic Practice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p>
    <w:p>
      <w:pPr>
        <w:pStyle w:val="BodyText"/>
      </w:pPr>
      <w:r>
        <w:t xml:space="preserve">From:</w:t>
      </w:r>
    </w:p>
    <w:p>
      <w:pPr>
        <w:pStyle w:val="BodyText"/>
      </w:pPr>
      <w:r>
        <w:t xml:space="preserve">Digital Health Initiatives Department</w:t>
      </w:r>
    </w:p>
    <w:p>
      <w:pPr>
        <w:pStyle w:val="BodyText"/>
      </w:pPr>
      <w:r>
        <w:br/>
      </w:r>
      <w:r>
        <w:t xml:space="preser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viability, operational framework, and financial projections for the establishment of a state-of-the-art Orthodontist practice within Germany, specifically in Munich. As one of the most affluent and demographically stable cities in Europe, Munich presents a unique market opportunity for high-quality dental care services. This document details how our proposed venture will address local demand while adhering to strict German regulatory standards.</w:t>
      </w:r>
    </w:p>
    <w:p>
      <w:pPr>
        <w:pStyle w:val="BodyText"/>
      </w:pPr>
      <w:r>
        <w:t xml:space="preserve">The primary objective is to create a premium Orthodontist center that integrates advanced digital scanning technology with traditional clinical excellence. By focusing on the specific needs of patients in Germany, Munich, we aim to capture a significant share of the private and semi-private dental insurance market. The report confirms that with an initial investment of €850,000, the project is expected to reach break-even within 24 months.</w:t>
      </w:r>
    </w:p>
    <w:bookmarkEnd w:id="20"/>
    <w:bookmarkStart w:id="23" w:name="market-analysis-the-munich-context"/>
    <w:p>
      <w:pPr>
        <w:pStyle w:val="Heading2"/>
      </w:pPr>
      <w:r>
        <w:t xml:space="preserve">2. Market Analysis: The Munich Context</w:t>
      </w:r>
    </w:p>
    <w:p>
      <w:pPr>
        <w:pStyle w:val="FirstParagraph"/>
      </w:pPr>
      <w:r>
        <w:t xml:space="preserve">Munich (München) stands as a beacon of economic stability and high standards of living in Bavaria. For this Project Report, it is crucial to recognize that the demographic profile of Munich supports a robust demand for aesthetic and corrective medical procedures.</w:t>
      </w:r>
    </w:p>
    <w:bookmarkStart w:id="21" w:name="demographic-drivers"/>
    <w:p>
      <w:pPr>
        <w:pStyle w:val="Heading3"/>
      </w:pPr>
      <w:r>
        <w:t xml:space="preserve">2.1 Demographic Drivers</w:t>
      </w:r>
    </w:p>
    <w:p>
      <w:pPr>
        <w:pStyle w:val="FirstParagraph"/>
      </w:pPr>
      <w:r>
        <w:t xml:space="preserve">Munich has a young, educated population with high disposable income. The city hosts numerous international corporations and universities, attracting families from around the globe who prioritize healthcare quality over cost alone. In Germany, while basic dental care is covered by statutory health insurance (GKV), orthodontic treatment for adults often falls under private insurance or out-of-pocket payment. This creates a lucrative market segment in Munich where patients seek discreet, high-tech solutions such as clear aligners and lingual braces.</w:t>
      </w:r>
    </w:p>
    <w:bookmarkEnd w:id="21"/>
    <w:bookmarkStart w:id="22" w:name="competitive-landscape"/>
    <w:p>
      <w:pPr>
        <w:pStyle w:val="Heading3"/>
      </w:pPr>
      <w:r>
        <w:t xml:space="preserve">2.2 Competitive Landscape</w:t>
      </w:r>
    </w:p>
    <w:p>
      <w:pPr>
        <w:pStyle w:val="FirstParagraph"/>
      </w:pPr>
      <w:r>
        <w:t xml:space="preserve">The Orthodontist market in Germany is fragmented but competitive. In Munich specifically, there are established practices; however, many suffer from outdated infrastructure or long waiting times due to bureaucratic inefficiencies. Our Project Report identifies a gap for a "patient-centric" Orthodontist model that utilizes AI-driven treatment planning and reduced appointment durations through digital workflows. Competitors in Germany Munich often rely on analog impressions; our competitive advantage lies in our immediate adoption of intraoral scanners, which appeals to the tech-savvy demographic of this region.</w:t>
      </w:r>
    </w:p>
    <w:bookmarkEnd w:id="22"/>
    <w:bookmarkEnd w:id="23"/>
    <w:bookmarkStart w:id="26" w:name="clinical-and-operational-strategy"/>
    <w:p>
      <w:pPr>
        <w:pStyle w:val="Heading2"/>
      </w:pPr>
      <w:r>
        <w:t xml:space="preserve">3. Clinical and Operational Strategy</w:t>
      </w:r>
    </w:p>
    <w:p>
      <w:pPr>
        <w:pStyle w:val="FirstParagraph"/>
      </w:pPr>
      <w:r>
        <w:t xml:space="preserve">The core mission of this Orthodontist practice is to deliver precise, comfortable, and aesthetically pleasing outcomes. The operational model in Germany Munich must navigate complex local regulations while maintaining efficiency.</w:t>
      </w:r>
    </w:p>
    <w:bookmarkStart w:id="24" w:name="service-offerings"/>
    <w:p>
      <w:pPr>
        <w:pStyle w:val="Heading3"/>
      </w:pPr>
      <w:r>
        <w:t xml:space="preserve">3.1 Service Offerings</w:t>
      </w:r>
    </w:p>
    <w:p>
      <w:pPr>
        <w:numPr>
          <w:ilvl w:val="0"/>
          <w:numId w:val="1001"/>
        </w:numPr>
        <w:pStyle w:val="Compact"/>
      </w:pPr>
      <w:r>
        <w:rPr>
          <w:bCs/>
          <w:b/>
        </w:rPr>
        <w:t xml:space="preserve">Invisible Aligner Therapy:</w:t>
      </w:r>
    </w:p>
    <w:p>
      <w:pPr>
        <w:numPr>
          <w:ilvl w:val="0"/>
          <w:numId w:val="1001"/>
        </w:numPr>
        <w:pStyle w:val="Compact"/>
      </w:pPr>
      <w:r>
        <w:t xml:space="preserve">Pediatric Orthodontics:</w:t>
      </w:r>
    </w:p>
    <w:p>
      <w:pPr>
        <w:numPr>
          <w:ilvl w:val="0"/>
          <w:numId w:val="1000"/>
        </w:numPr>
        <w:pStyle w:val="Compact"/>
      </w:pPr>
      <w:r>
        <w:br/>
      </w:r>
      <w:r>
        <w:t xml:space="preserve">Early intervention is a priority for many parents in Germany. We will establish a dedicated wing for children, ensuring a child-friendly environment that complies with Bavarian youth protection laws.</w:t>
      </w:r>
    </w:p>
    <w:p>
      <w:pPr>
        <w:numPr>
          <w:ilvl w:val="0"/>
          <w:numId w:val="1001"/>
        </w:numPr>
        <w:pStyle w:val="Compact"/>
      </w:pPr>
      <w:r>
        <w:t xml:space="preserve">Surgical-Orthodontic Collaboration:</w:t>
      </w:r>
    </w:p>
    <w:p>
      <w:pPr>
        <w:numPr>
          <w:ilvl w:val="0"/>
          <w:numId w:val="1000"/>
        </w:numPr>
        <w:pStyle w:val="Compact"/>
      </w:pPr>
      <w:r>
        <w:br/>
      </w:r>
      <w:r>
        <w:t xml:space="preserve">We will form partnerships with oral surgeons in the Munich area to handle complex skeletal discrepancies requiring combined therapy.</w:t>
      </w:r>
    </w:p>
    <w:bookmarkEnd w:id="24"/>
    <w:bookmarkStart w:id="25" w:name="technological-integration"/>
    <w:p>
      <w:pPr>
        <w:pStyle w:val="Heading3"/>
      </w:pPr>
      <w:r>
        <w:t xml:space="preserve">3.2 Technological Integration</w:t>
      </w:r>
    </w:p>
    <w:p>
      <w:pPr>
        <w:pStyle w:val="FirstParagraph"/>
      </w:pPr>
      <w:r>
        <w:t xml:space="preserve">To differentiate our Orthodontist brand, we will implement a fully digital clinic infrastructure. This includes cone-beam computed tomography (CBCT) for 3D imaging and CAD/CAM systems for designing appliances on-site. In the context of Germany, data privacy is paramount; therefore, all digital workflows will comply with GDPR (General Data Protection Regulation), ensuring patient trust.</w:t>
      </w:r>
    </w:p>
    <w:bookmarkEnd w:id="25"/>
    <w:bookmarkEnd w:id="26"/>
    <w:bookmarkStart w:id="30" w:name="Xc2d1a57cd71ffbe58529fb17351cf1f5f517707"/>
    <w:p>
      <w:pPr>
        <w:pStyle w:val="Heading2"/>
      </w:pPr>
      <w:r>
        <w:t xml:space="preserve">4. Regulatory and Legal Framework in Germany</w:t>
      </w:r>
    </w:p>
    <w:p>
      <w:pPr>
        <w:pStyle w:val="FirstParagraph"/>
      </w:pPr>
      <w:r>
        <w:t xml:space="preserve">Navigating the legal landscape in Germany requires meticulous attention to detail. This section highlights critical compliance issues for an Orthodontist practice.</w:t>
      </w:r>
    </w:p>
    <w:bookmarkStart w:id="27" w:name="licensing-and-qualifications"/>
    <w:p>
      <w:pPr>
        <w:pStyle w:val="Heading3"/>
      </w:pPr>
      <w:r>
        <w:t xml:space="preserve">4.1 Licensing and Qualifications</w:t>
      </w:r>
    </w:p>
    <w:p>
      <w:pPr>
        <w:pStyle w:val="FirstParagraph"/>
      </w:pPr>
      <w:r>
        <w:t xml:space="preserve">In Germany, orthodontics is a recognized specialty requiring additional training beyond general dentistry. The lead practitioners must be certified as "Fachzahnärzte für Kieferorthopädie" (Specialist Dentists for Orthodontics). For international applicants, recognition of foreign degrees through the Chamber of Physicians in Bavaria (Ärztekammer Bayern) is a mandatory step. Our Project Report confirms that our selected team holds recognized qualifications.</w:t>
      </w:r>
    </w:p>
    <w:bookmarkEnd w:id="27"/>
    <w:bookmarkStart w:id="28" w:name="reimbursement-systems"/>
    <w:p>
      <w:pPr>
        <w:pStyle w:val="Heading3"/>
      </w:pPr>
      <w:r>
        <w:t xml:space="preserve">4.2 Reimbursement Systems</w:t>
      </w:r>
    </w:p>
    <w:p>
      <w:pPr>
        <w:pStyle w:val="FirstParagraph"/>
      </w:pPr>
      <w:r>
        <w:t xml:space="preserve">The German healthcare system operates on a mixed model. For patients covered by statutory insurance, orthodontic treatment for children may be partially subsidized if specific severity indices (IKW) are met. However, the majority of our target demographic in Munich will utilize private health insurance or self-pay. We must establish clear billing codes (GOÄ - Gebührenordnung für Ärzte) to ensure accurate invoicing for private patients.</w:t>
      </w:r>
    </w:p>
    <w:bookmarkEnd w:id="28"/>
    <w:bookmarkStart w:id="29" w:name="data-protection-and-hygiene"/>
    <w:p>
      <w:pPr>
        <w:pStyle w:val="Heading3"/>
      </w:pPr>
      <w:r>
        <w:t xml:space="preserve">4.3 Data Protection and Hygiene</w:t>
      </w:r>
    </w:p>
    <w:p>
      <w:pPr>
        <w:pStyle w:val="FirstParagraph"/>
      </w:pPr>
      <w:r>
        <w:t xml:space="preserve">Munich enforces strict hygiene protocols consistent with national German standards (RKI guidelines). Furthermore, given the digital nature of our practice, we must implement robust cybersecurity measures to protect patient records stored on servers located within the EU.</w:t>
      </w:r>
    </w:p>
    <w:bookmarkEnd w:id="29"/>
    <w:bookmarkEnd w:id="30"/>
    <w:bookmarkStart w:id="31" w:name="financial-projections"/>
    <w:p>
      <w:pPr>
        <w:pStyle w:val="Heading2"/>
      </w:pPr>
      <w:r>
        <w:t xml:space="preserve">5. Financial Projections</w:t>
      </w:r>
    </w:p>
    <w:p>
      <w:pPr>
        <w:pStyle w:val="FirstParagraph"/>
      </w:pPr>
      <w:r>
        <w:t xml:space="preserve">The financial viability of this Orthodontist project relies on a high-volume, low-wait-time model.</w:t>
      </w:r>
    </w:p>
    <w:p>
      <w:pPr>
        <w:pStyle w:val="BodyText"/>
      </w:pPr>
      <w:r>
        <w:t xml:space="preserve">Categories</w:t>
      </w:r>
    </w:p>
    <w:bookmarkEnd w:id="31"/>
    <w:p>
      <w:pPr>
        <w:pStyle w:val="BodyText"/>
      </w:pPr>
      <w:r>
        <w:t xml:space="preserve">Description</w:t>
      </w:r>
    </w:p>
    <w:p>
      <w:pPr>
        <w:pStyle w:val="BodyText"/>
      </w:pPr>
      <w:r>
        <w:t xml:space="preserve">$850,000</w:t>
      </w:r>
      <w:r>
        <w:br/>
      </w:r>
      <w:r>
        <w:t xml:space="preserve">Includes leasehold improvements in Munich city center, digital equipment (scanners, CBCT), and licensing fees.</w:t>
      </w:r>
    </w:p>
    <w:p>
      <w:pPr>
        <w:pStyle w:val="BodyText"/>
      </w:pPr>
      <w:r>
        <w:t xml:space="preserve">.Operating Costs (Monthly):</w:t>
      </w:r>
      <w:r>
        <w:br/>
      </w:r>
      <w:r>
        <w:t xml:space="preserve">Approximately €45,0 Two main factors influence revenue: patient acquisition cost and retention rate. Given the high competition for Orthodontist services in Germany Munich marketing efforts will focus on digital presence and referrals from general dentists.</w:t>
      </w:r>
    </w:p>
    <w:p>
      <w:pPr>
        <w:pStyle w:val="BodyText"/>
      </w:pPr>
      <w:r>
        <w:t xml:space="preserve">Revenue Streams:</w:t>
      </w:r>
    </w:p>
    <w:p>
      <w:pPr>
        <w:pStyle w:val="BodyText"/>
      </w:pPr>
      <w:r>
        <w:t xml:space="preserve">$120,000</w:t>
      </w:r>
      <w:r>
        <w:br/>
      </w:r>
      <w:r>
        <w:t xml:space="preserve">Includes salaries for two specialists, one hygienist, administrative staff, rent in a prime Munich location (e.g., Schwabing or Maxvorstadt), and supplies.</w:t>
      </w:r>
    </w:p>
    <w:p>
      <w:pPr>
        <w:pStyle w:val="BodyText"/>
      </w:pPr>
      <w:r>
        <w:t xml:space="preserve">.Projected Annual Revenue:</w:t>
      </w:r>
      <w:r>
        <w:br/>
      </w:r>
      <w:r>
        <w:t xml:space="preserve">€1.2 Million by Year 3.</w:t>
      </w:r>
    </w:p>
    <w:p>
      <w:pPr>
        <w:pStyle w:val="BodyText"/>
      </w:pPr>
      <w:r>
        <w:t xml:space="preserve">Breakeven Point:</w:t>
      </w:r>
    </w:p>
    <w:p>
      <w:pPr>
        <w:pStyle w:val="BodyText"/>
      </w:pPr>
      <w:r>
        <w:t xml:space="preserve">$24 Months</w:t>
      </w:r>
      <w:r>
        <w:br/>
      </w:r>
      <w:r>
        <w:t xml:space="preserve">Achieved through steady growth in private insurance claims and self-pay patients.</w:t>
      </w:r>
    </w:p>
    <w:p>
      <w:pPr>
        <w:pStyle w:val="BodyText"/>
      </w:pPr>
      <w:r>
        <w:t xml:space="preserve">.Profit Margin (Year 3):</w:t>
      </w:r>
      <w:r>
        <w:br/>
      </w:r>
      <w:r>
        <w:t xml:space="preserve">18%</w:t>
      </w:r>
      <w:r>
        <w:br/>
      </w:r>
      <w:r>
        <w:t xml:space="preserve">Driven by operational efficiencies and high patient satisfaction scores.</w:t>
      </w:r>
    </w:p>
    <w:p>
      <w:pPr>
        <w:pStyle w:val="BodyText"/>
      </w:pPr>
      <w:r>
        <w:t xml:space="preserve">.Risk Assessment</w:t>
      </w:r>
    </w:p>
    <w:p>
      <w:pPr>
        <w:numPr>
          <w:ilvl w:val="0"/>
          <w:numId w:val="1002"/>
        </w:numPr>
        <w:pStyle w:val="Compact"/>
      </w:pPr>
      <w:r>
        <w:t xml:space="preserve">Risks associated with changes in German health policy or insurance reimbursement rates.</w:t>
      </w:r>
      <w:r>
        <w:br/>
      </w:r>
      <w:r>
        <w:t xml:space="preserve">Mitigation:Diversifying revenue streams between public and private patients.</w:t>
      </w:r>
      <w:r>
        <w:br/>
      </w:r>
    </w:p>
    <w:p>
      <w:pPr>
        <w:numPr>
          <w:ilvl w:val="0"/>
          <w:numId w:val="1002"/>
        </w:numPr>
        <w:pStyle w:val="Compact"/>
      </w:pPr>
      <w:r>
        <w:t xml:space="preserve">Competition:</w:t>
      </w:r>
      <w:r>
        <w:br/>
      </w:r>
      <w:r>
        <w:t xml:space="preserve">/</w:t>
      </w:r>
    </w:p>
    <w:p>
      <w:pPr>
        <w:numPr>
          <w:ilvl w:val="0"/>
          <w:numId w:val="1000"/>
        </w:numPr>
        <w:pStyle w:val="Compact"/>
      </w:pPr>
      <w:r>
        <w:t xml:space="preserve">Mitigation:</w:t>
      </w:r>
    </w:p>
    <w:p>
      <w:pPr>
        <w:numPr>
          <w:ilvl w:val="0"/>
          <w:numId w:val="1000"/>
        </w:numPr>
        <w:pStyle w:val="Compact"/>
      </w:pPr>
      <w:r>
        <w:t xml:space="preserve">Continuous investment in technology and patient experience to maintain a competitive edge over traditional Orthodontist practices in Munich.</w:t>
      </w:r>
    </w:p>
    <w:p>
      <w:pPr>
        <w:numPr>
          <w:ilvl w:val="0"/>
          <w:numId w:val="1002"/>
        </w:numPr>
        <w:pStyle w:val="Compact"/>
      </w:pPr>
      <w:r>
        <w:rPr>
          <w:bCs/>
          <w:b/>
        </w:rPr>
        <w:t xml:space="preserve">Economic Downturn:</w:t>
      </w:r>
      <w:r>
        <w:br/>
      </w:r>
      <w:r>
        <w:t xml:space="preserve">Potential reduction in discretionary spending on aesthetic dental care.</w:t>
      </w:r>
      <w:r>
        <w:br/>
      </w:r>
    </w:p>
    <w:p>
      <w:pPr>
        <w:numPr>
          <w:ilvl w:val="0"/>
          <w:numId w:val="1000"/>
        </w:numPr>
        <w:pStyle w:val="Compact"/>
      </w:pPr>
      <w:r>
        <w:t xml:space="preserve">Mitigation:</w:t>
      </w:r>
    </w:p>
    <w:p>
      <w:pPr>
        <w:numPr>
          <w:ilvl w:val="0"/>
          <w:numId w:val="1000"/>
        </w:numPr>
        <w:pStyle w:val="Compact"/>
      </w:pPr>
      <w:r>
        <w:t xml:space="preserve">Offering flexible payment plans and financing options tailored to the German market.</w:t>
      </w:r>
    </w:p>
    <w:p>
      <w:pPr>
        <w:pStyle w:val="FirstParagraph"/>
      </w:pPr>
      <w:r>
        <w:t xml:space="preserve">.</w:t>
      </w:r>
    </w:p>
    <w:p>
      <w:pPr>
        <w:pStyle w:val="BodyText"/>
      </w:pPr>
      <w:r>
        <w:t xml:space="preserve">.Conclusion</w:t>
      </w:r>
    </w:p>
    <w:p>
      <w:pPr>
        <w:pStyle w:val="BodyText"/>
      </w:pPr>
      <w:r>
        <w:t xml:space="preserve">This Project Report demonstrates that establishing an Orthodontist practice in Germany, Munich is not only feasible but highly promising. The combination of Munich’s affluent demographic, the growing demand for invisible orthodontics, and our strategic focus on digital efficiency positions the venture for long-term success. By adhering to rigorous German regulatory standards and prioritizing patient care, we will become a leading Orthodontist provider in the region.</w:t>
      </w:r>
    </w:p>
    <w:p>
      <w:r>
        <w:pict>
          <v:rect style="width:0;height:1.5pt" o:hralign="center" o:hrstd="t" o:hr="t"/>
        </w:pict>
      </w:r>
    </w:p>
    <w:p>
      <w:pPr>
        <w:pStyle w:val="FirstParagraph"/>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Orthodontic Practice in Germany, Munich</dc:title>
  <dc:creator/>
  <dc:language>en</dc:language>
  <cp:keywords/>
  <dcterms:created xsi:type="dcterms:W3CDTF">2026-07-29T11:02:04Z</dcterms:created>
  <dcterms:modified xsi:type="dcterms:W3CDTF">2026-07-29T11:02:04Z</dcterms:modified>
</cp:coreProperties>
</file>

<file path=docProps/custom.xml><?xml version="1.0" encoding="utf-8"?>
<Properties xmlns="http://schemas.openxmlformats.org/officeDocument/2006/custom-properties" xmlns:vt="http://schemas.openxmlformats.org/officeDocument/2006/docPropsVTypes"/>
</file>