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Orthodontic</w:t>
      </w:r>
      <w:r>
        <w:t xml:space="preserve"> </w:t>
      </w:r>
      <w:r>
        <w:t xml:space="preserve">Specialist</w:t>
      </w:r>
      <w:r>
        <w:t xml:space="preserve"> </w:t>
      </w:r>
      <w:r>
        <w:t xml:space="preserve">Clinic</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ee92b43088a8be35fd61a0d43e6b8744a9afbb"/>
    <w:p>
      <w:pPr>
        <w:pStyle w:val="Heading1"/>
      </w:pPr>
      <w:r>
        <w:rPr>
          <w:iCs/>
          <w:i/>
          <w:bCs/>
          <w:b/>
        </w:rPr>
        <w:t xml:space="preserve">Project Report</w:t>
      </w:r>
      <w:r>
        <w:t xml:space="preserve">: Establishment of a Premier Orthodontic Specialist Clinic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Board &amp; Clinical Stakeholders</w:t>
      </w:r>
      <w:r>
        <w:br/>
      </w:r>
      <w:r>
        <w:rPr>
          <w:bCs/>
          <w:b/>
        </w:rPr>
        <w:t xml:space="preserve">From:</w:t>
      </w:r>
      <w:r>
        <w:t xml:space="preserve"> </w:t>
      </w:r>
      <w:r>
        <w:t xml:space="preserve">Project Management Office</w:t>
      </w:r>
      <w:r>
        <w:br/>
      </w:r>
    </w:p>
    <w:p>
      <w:pPr>
        <w:pStyle w:val="BodyText"/>
      </w:pPr>
      <w:r>
        <w:t xml:space="preserve">Subject:Viable Expansion of Specialized Dental Care Services in the Malaysian Capital</w:t>
      </w:r>
    </w:p>
    <w:p>
      <w:pPr>
        <w:pStyle w:val="BodyText"/>
      </w:pPr>
      <w:r>
        <w:t xml:space="preserve">The objective of this document is to outline the strategic framework, market analysis, and operational plan for launching a high-end</w:t>
      </w:r>
      <w:r>
        <w:t xml:space="preserve"> </w:t>
      </w:r>
      <w:r>
        <w:rPr>
          <w:bCs/>
          <w:b/>
        </w:rPr>
        <w:t xml:space="preserve">Orthodontist</w:t>
      </w:r>
      <w:r>
        <w:t xml:space="preserve"> </w:t>
      </w:r>
      <w:r>
        <w:t xml:space="preserve">practice within the competitive healthcare landscape of Malaysia, specifically targeting Kuala Lumpur. This report details how this initiative aligns with national health goals and capitalizes on growing consumer demand for aesthetic dental solutions in the region.</w:t>
      </w:r>
    </w:p>
    <w:p>
      <w:pPr>
        <w:pStyle w:val="BodyText"/>
      </w:pPr>
      <w:r>
        <w:t xml:space="preserve">This</w:t>
      </w:r>
    </w:p>
    <w:p>
      <w:pPr>
        <w:pStyle w:val="BodyText"/>
      </w:pPr>
      <w:r>
        <w:t xml:space="preserve">Project Report serves as a comprehensive guide for the feasibility, implementation, and projected outcomes of opening a specialized orthodontic clinic. The focus is squarely on Malaysia's economic hub, Kuala Lumpur, where demographic shifts and rising disposable incomes have created a lucrative market for premium healthcare services.</w:t>
      </w:r>
    </w:p>
    <w:p>
      <w:pPr>
        <w:pStyle w:val="BodyText"/>
      </w:pPr>
      <w:r>
        <w:t xml:space="preserve">The decision to establish an</w:t>
      </w:r>
    </w:p>
    <w:p>
      <w:pPr>
        <w:pStyle w:val="BodyText"/>
      </w:pPr>
      <w:r>
        <w:t xml:space="preserve">Orthodontist practice in Kuala Lumpur is driven by several converging factors. Firstly, Malaysia has seen a significant rise in dental tourism and domestic demand for aesthetic procedures. Secondly, the concentration of high-income demographics in areas such as Mont Kiara, Damansara Heights, and Bangsar provides a steady client base willing to invest in long-term treatment plans.</w:t>
      </w:r>
    </w:p>
    <w:p>
      <w:pPr>
        <w:pStyle w:val="BodyText"/>
      </w:pPr>
      <w:r>
        <w:t xml:space="preserve">The landscape of healthcare in Malaysia is robust and increasingly competitive. Kuala Lumpur stands out as the primary medical hub for Southeast Asia. While general dentistry is saturated, specialized orthodontics remains an area with high barriers to entry due to the need for advanced technology and specialized expertise.</w:t>
      </w:r>
    </w:p>
    <w:p>
      <w:pPr>
        <w:numPr>
          <w:ilvl w:val="0"/>
          <w:numId w:val="1001"/>
        </w:numPr>
        <w:pStyle w:val="Compact"/>
      </w:pPr>
      <w:r>
        <w:t xml:space="preserve">Market Growth:</w:t>
      </w:r>
    </w:p>
    <w:p>
      <w:pPr>
        <w:numPr>
          <w:ilvl w:val="0"/>
          <w:numId w:val="1000"/>
        </w:numPr>
        <w:pStyle w:val="Compact"/>
      </w:pPr>
      <w:r>
        <w:t xml:space="preserve">The demand for invisible aligners and traditional braces in Kuala Lumpur has grown by approximately 15% annually over the past five years. This is attributed to increased awareness of oral aesthetics among young professionals and parents seeking early intervention for their children.</w:t>
      </w:r>
    </w:p>
    <w:p>
      <w:pPr>
        <w:numPr>
          <w:ilvl w:val="0"/>
          <w:numId w:val="1001"/>
        </w:numPr>
        <w:pStyle w:val="Compact"/>
      </w:pPr>
      <w:r>
        <w:t xml:space="preserve">Regulatory Environment:</w:t>
      </w:r>
    </w:p>
    <w:p>
      <w:pPr>
        <w:numPr>
          <w:ilvl w:val="0"/>
          <w:numId w:val="1000"/>
        </w:numPr>
        <w:pStyle w:val="Compact"/>
      </w:pPr>
      <w:r>
        <w:t xml:space="preserve">The Malaysian Dental Council (MDC) maintains strict standards for specialization. The proposed project ensures full compliance with MDC regulations regarding the title "Orthodontist," ensuring that only certified specialists practice at the facility.</w:t>
      </w:r>
    </w:p>
    <w:p>
      <w:pPr>
        <w:numPr>
          <w:ilvl w:val="0"/>
          <w:numId w:val="1001"/>
        </w:numPr>
        <w:pStyle w:val="Compact"/>
      </w:pPr>
      <w:r>
        <w:t xml:space="preserve">Technological Adoption:</w:t>
      </w:r>
    </w:p>
    <w:p>
      <w:pPr>
        <w:numPr>
          <w:ilvl w:val="0"/>
          <w:numId w:val="1000"/>
        </w:numPr>
        <w:pStyle w:val="Compact"/>
      </w:pPr>
      <w:r>
        <w:t xml:space="preserve">Kuala Lumpur's healthcare sector is rapidly adopting digital workflows. Patients in this region prefer clinics that offer 3D scanning, AI-driven treatment planning, and clear aligner technologies over traditional impression methods.</w:t>
      </w:r>
    </w:p>
    <w:p>
      <w:pPr>
        <w:pStyle w:val="FirstParagraph"/>
      </w:pPr>
      <w:r>
        <w:t xml:space="preserve">To succeed in Malaysia's competitive market, the proposed clinic will differentiate itself through a patient-centric model supported by cutting-edge technology. The following key features define the operational strategy:</w:t>
      </w:r>
    </w:p>
    <w:p>
      <w:pPr>
        <w:numPr>
          <w:ilvl w:val="0"/>
          <w:numId w:val="1002"/>
        </w:numPr>
        <w:pStyle w:val="Compact"/>
      </w:pPr>
      <w:r>
        <w:t xml:space="preserve">Digital-First Workflow:</w:t>
      </w:r>
    </w:p>
    <w:p>
      <w:pPr>
        <w:numPr>
          <w:ilvl w:val="0"/>
          <w:numId w:val="1000"/>
        </w:numPr>
        <w:pStyle w:val="Compact"/>
      </w:pPr>
      <w:r>
        <w:t xml:space="preserve">We will implement intraoral scanners and CBCT imaging to minimize patient discomfort and increase treatment accuracy. This aligns with the expectations of Kuala Lumpur's tech-savvy population.</w:t>
      </w:r>
    </w:p>
    <w:p>
      <w:pPr>
        <w:numPr>
          <w:ilvl w:val="0"/>
          <w:numId w:val="1002"/>
        </w:numPr>
        <w:pStyle w:val="Compact"/>
      </w:pPr>
      <w:r>
        <w:t xml:space="preserve">Multidisciplinary Approach:</w:t>
      </w:r>
    </w:p>
    <w:p>
      <w:pPr>
        <w:numPr>
          <w:ilvl w:val="0"/>
          <w:numId w:val="1000"/>
        </w:numPr>
        <w:pStyle w:val="Compact"/>
      </w:pPr>
      <w:r>
        <w:t xml:space="preserve">The clinic will collaborate with oral surgeons, periodontists, and prosthodontists to offer comprehensive care. This holistic approach is highly valued in Malaysia's integrated healthcare system.</w:t>
      </w:r>
    </w:p>
    <w:p>
      <w:pPr>
        <w:numPr>
          <w:ilvl w:val="0"/>
          <w:numId w:val="1002"/>
        </w:numPr>
        <w:pStyle w:val="Compact"/>
      </w:pPr>
      <w:r>
        <w:t xml:space="preserve">Aesthetic Design:</w:t>
      </w:r>
    </w:p>
    <w:p>
      <w:pPr>
        <w:numPr>
          <w:ilvl w:val="0"/>
          <w:numId w:val="1000"/>
        </w:numPr>
        <w:pStyle w:val="Compact"/>
      </w:pPr>
      <w:r>
        <w:t xml:space="preserve">Given the aesthetic focus of orthodontics, the clinic interior will be designed to be calming and premium, reflecting the high standards of service expected by clients in Kuala Lumpur.</w:t>
      </w:r>
    </w:p>
    <w:p>
      <w:pPr>
        <w:numPr>
          <w:ilvl w:val="0"/>
          <w:numId w:val="1002"/>
        </w:numPr>
        <w:pStyle w:val="Compact"/>
      </w:pPr>
      <w:r>
        <w:t xml:space="preserve">Cultural Competence:</w:t>
      </w:r>
    </w:p>
    <w:p>
      <w:pPr>
        <w:numPr>
          <w:ilvl w:val="0"/>
          <w:numId w:val="1000"/>
        </w:numPr>
        <w:pStyle w:val="Compact"/>
      </w:pPr>
      <w:r>
        <w:t xml:space="preserve">The staff will be multilingual (English, Malay, Mandarin), catering to the diverse demographic fabric of Malaysia. This ensures effective communication and builds trust with patients from various cultural backgrounds.</w:t>
      </w:r>
    </w:p>
    <w:p>
      <w:pPr>
        <w:pStyle w:val="FirstParagraph"/>
      </w:pPr>
      <w:r>
        <w:t xml:space="preserve">A detailed financial analysis indicates a positive return on investment (ROI) within the third year of operation. The initial capital expenditure will be allocated towards advanced dental equipment, clinic fit-out in a prime location such as KLCC or Bangsar South, and marketing campaigns.</w:t>
      </w:r>
    </w:p>
    <w:p>
      <w:pPr>
        <w:pStyle w:val="BodyText"/>
      </w:pPr>
      <w:r>
        <w:t xml:space="preserve">Cost Category</w:t>
      </w:r>
    </w:p>
    <w:p>
      <w:pPr>
        <w:pStyle w:val="BodyText"/>
      </w:pPr>
      <w:r>
        <w:t xml:space="preserve">The breakdown of costs reflects the premium nature of an specialized Orthodontist practice in a high-cost area like Kuala Lumpur.</w:t>
      </w:r>
    </w:p>
    <w:p>
      <w:pPr>
        <w:pStyle w:val="BodyText"/>
      </w:pPr>
      <w:r>
        <w:t xml:space="preserve">Hospitality &amp; Fit-out</w:t>
      </w:r>
    </w:p>
    <w:p>
      <w:pPr>
        <w:pStyle w:val="BodyText"/>
      </w:pPr>
      <w:r>
        <w:t xml:space="preserve">$150,000 - $250,00 USD (Premium interior design)</w:t>
      </w:r>
    </w:p>
    <w:p>
      <w:pPr>
        <w:pStyle w:val="BodyText"/>
      </w:pPr>
      <w:r>
        <w:t xml:space="preserve">Digital Equipment</w:t>
      </w:r>
    </w:p>
    <w:p>
      <w:pPr>
        <w:pStyle w:val="BodyText"/>
      </w:pPr>
      <w:r>
        <w:t xml:space="preserve">$80, aligners software licensing)</w:t>
      </w:r>
    </w:p>
    <w:p>
      <w:pPr>
        <w:pStyle w:val="BodyText"/>
      </w:pPr>
      <w:r>
        <w:t xml:space="preserve">Note: The above figures are estimates and subject to final vendor negotiations and currency fluctuations. However, the revenue model is robust due to the high value of orthodontic treatments.</w:t>
      </w:r>
    </w:p>
    <w:p>
      <w:pPr>
        <w:pStyle w:val="BodyText"/>
      </w:pPr>
      <w:r>
        <w:t xml:space="preserve">The marketing strategy will leverage digital platforms heavily, as Kuala Lumpur has one of the highest social media penetration rates in Southeast Asia. Key strategies include:</w:t>
      </w:r>
    </w:p>
    <w:p>
      <w:pPr>
        <w:numPr>
          <w:ilvl w:val="0"/>
          <w:numId w:val="1003"/>
        </w:numPr>
        <w:pStyle w:val="Compact"/>
      </w:pPr>
      <w:r>
        <w:t xml:space="preserve">Digital Marketing:</w:t>
      </w:r>
    </w:p>
    <w:p>
      <w:pPr>
        <w:numPr>
          <w:ilvl w:val="0"/>
          <w:numId w:val="1000"/>
        </w:numPr>
        <w:pStyle w:val="Compact"/>
      </w:pPr>
      <w:r>
        <w:t xml:space="preserve">Paid campaigns on Instagram, TikTok, and Facebook targeting specific age groups (teens for braces and young adults for aligners) within a 10km radius of the clinic.</w:t>
      </w:r>
    </w:p>
    <w:p>
      <w:pPr>
        <w:numPr>
          <w:ilvl w:val="0"/>
          <w:numId w:val="1003"/>
        </w:numPr>
        <w:pStyle w:val="Compact"/>
      </w:pPr>
      <w:r>
        <w:t xml:space="preserve">Influencer Partnerships:</w:t>
      </w:r>
    </w:p>
    <w:p>
      <w:pPr>
        <w:numPr>
          <w:ilvl w:val="0"/>
          <w:numId w:val="1000"/>
        </w:numPr>
        <w:pStyle w:val="Compact"/>
      </w:pPr>
      <w:r>
        <w:t xml:space="preserve">Collaborating with local lifestyle influencers in Malaysia to showcase before-and-after results, thereby building social proof and trust.</w:t>
      </w:r>
    </w:p>
    <w:p>
      <w:pPr>
        <w:numPr>
          <w:ilvl w:val="0"/>
          <w:numId w:val="1003"/>
        </w:numPr>
        <w:pStyle w:val="Compact"/>
      </w:pPr>
      <w:r>
        <w:t xml:space="preserve">Coral Reef Community Engagement:</w:t>
      </w:r>
    </w:p>
    <w:p>
      <w:pPr>
        <w:numPr>
          <w:ilvl w:val="0"/>
          <w:numId w:val="1000"/>
        </w:numPr>
        <w:pStyle w:val="Compact"/>
      </w:pPr>
      <w:r>
        <w:t xml:space="preserve">Sponsoring local schools and community events in Kuala Lumpur to provide free screening days. This builds brand loyalty from an early age.</w:t>
      </w:r>
    </w:p>
    <w:p>
      <w:pPr>
        <w:pStyle w:val="FirstParagraph"/>
      </w:pPr>
      <w:r>
        <w:t xml:space="preserve">This project carries inherent risks that must be managed proactively. These include regulatory changes by the Malaysian Dental Council, economic fluctuations affecting consumer spending on elective procedures, and competition from established dental chains.</w:t>
      </w:r>
    </w:p>
    <w:p>
      <w:pPr>
        <w:pStyle w:val="BodyText"/>
      </w:pPr>
      <w:r>
        <w:t xml:space="preserve">To mitigate these risks, we will maintain a strong cash reserve for at least 12 months of operational costs. Additionally, diversifying the service offering to include general check-ups can provide a steady baseline revenue stream while orthodontic treatments are being planned. Continuous monitoring of competitor pricing and technology trends in Malaysia will ensure the clinic remains relevant and competitive.</w:t>
      </w:r>
    </w:p>
    <w:p>
      <w:pPr>
        <w:pStyle w:val="BodyText"/>
      </w:pPr>
      <w:r>
        <w:t xml:space="preserve">The establishment of this specialized Orthodontist practice in Kuala Lumpur represents a strategic opportunity to capture significant market share in a high-growth sector. By combining advanced technology, exceptional patient care, and culturally sensitive service delivery, the project is poised for success.</w:t>
      </w:r>
    </w:p>
    <w:p>
      <w:pPr>
        <w:pStyle w:val="BodyText"/>
      </w:pPr>
      <w:r>
        <w:t xml:space="preserve">This</w:t>
      </w:r>
      <w:r>
        <w:t xml:space="preserve"> </w:t>
      </w:r>
      <w:r>
        <w:rPr>
          <w:bCs/>
          <w:b/>
        </w:rPr>
        <w:t xml:space="preserve">Project Report</w:t>
      </w:r>
    </w:p>
    <w:p>
      <w:pPr>
        <w:pStyle w:val="BodyText"/>
      </w:pPr>
      <w:r>
        <w:t xml:space="preserve">The projected outcomes include achieving break-even within 24 months and becoming a recognized leader in orthodontic care in Malaysia's capital within five years. The focus on Kuala Lumpur allows for efficient access to talent, patients, and suppliers, making it the optimal location for this expansion.</w:t>
      </w:r>
    </w:p>
    <w:p>
      <w:pPr>
        <w:pStyle w:val="BodyText"/>
      </w:pPr>
      <w:r>
        <w:t xml:space="preserve">We recommend immediate approval of the budget allocation to begin site selection and recruitment of senior orthodontic specialists. The time window to capitalize on the current market demand in Malaysia is open but may close as competitors adapt their strategies. Therefore, swift action is advised.</w:t>
      </w:r>
    </w:p>
    <w:p>
      <w:pPr>
        <w:pStyle w:val="BodyText"/>
      </w:pPr>
      <w:r>
        <w:t xml:space="preserve">In conclusion, this document outlines a viable, high-potential venture for establishing a premier orthodontic clinic in Kuala Lumpur. The synergy between the growing demand for aesthetic dental care in Malaysia and the strategic advantages of operating in its capital city creates an ideal environment for success. With proper execution of the outlined operational and marketing strategies, this project will deliver substantial financial returns while enhancing oral health outcomes for patients across Kuala Lumpur.</w:t>
      </w:r>
    </w:p>
    <w:p>
      <w:pPr>
        <w:pStyle w:val="BodyText"/>
      </w:pPr>
      <w:r>
        <w:t xml:space="preserve">This report confirms that the proposed venture aligns with global standards of excellence while respecting local nuances in Malaysia. The focus on delivering superior care as an Orthodontist specialist will differentiate the brand and ensure long-term sustainability.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Premier Orthodontic Specialist Clinic in Malaysia, Kuala Lumpur</dc:title>
  <dc:creator/>
  <cp:keywords/>
  <dcterms:created xsi:type="dcterms:W3CDTF">2026-07-29T22:08:51Z</dcterms:created>
  <dcterms:modified xsi:type="dcterms:W3CDTF">2026-07-29T22:08:51Z</dcterms:modified>
</cp:coreProperties>
</file>

<file path=docProps/custom.xml><?xml version="1.0" encoding="utf-8"?>
<Properties xmlns="http://schemas.openxmlformats.org/officeDocument/2006/custom-properties" xmlns:vt="http://schemas.openxmlformats.org/officeDocument/2006/docPropsVTypes"/>
</file>