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Orthodontic</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73be2db41a0994abc3eaaf53754f3a0f0e7729e"/>
    <w:p>
      <w:pPr>
        <w:pStyle w:val="Heading1"/>
      </w:pPr>
      <w:r>
        <w:t xml:space="preserve">Project Report: Establishment of a Specialized Orthodontic Practice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&amp; Investors</w:t>
      </w:r>
      <w:r>
        <w:br/>
      </w:r>
      <w:r>
        <w:rPr>
          <w:bCs/>
          <w:b/>
        </w:rPr>
        <w:t xml:space="preserve">From:</w:t>
      </w:r>
      <w:r>
        <w:t xml:space="preserve"> </w:t>
      </w:r>
      <w:r>
        <w:t xml:space="preserve">Project Management Office</w:t>
      </w:r>
      <w:r>
        <w:br/>
      </w:r>
    </w:p>
    <w:p>
      <w:pPr>
        <w:pStyle w:val="BodyText"/>
      </w:pPr>
      <w:r>
        <w:t xml:space="preserve">Subject:&gt; Feasibility and Strategic Implementation Plan for an Orthodontist Clinic in New Zealand, Auckland</w:t>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orthodontic practice within the metropolitan area of New Zealand, Auckland. As a rapidly growing region with an increasing demand for aesthetic dental services, Auckland presents a unique opportunity for specialized care providers. The primary objective of this initiative is to deliver high-quality orthodontic treatment to diverse demographics, ranging from pediatric patients requiring early intervention to adults seeking cosmetic corrections such as Invisalign clear aligner therapy. This document details the market analysis, regulatory requirements specific to New Zealand, operational logistics in Auckland, and financial projections essential for the successful launch of this</w:t>
      </w:r>
      <w:r>
        <w:t xml:space="preserve"> </w:t>
      </w:r>
      <w:r>
        <w:rPr>
          <w:bCs/>
          <w:b/>
        </w:rPr>
        <w:t xml:space="preserve">Orthodontist</w:t>
      </w:r>
      <w:r>
        <w:t xml:space="preserve"> </w:t>
      </w:r>
      <w:r>
        <w:t xml:space="preserve">practice.</w:t>
      </w:r>
    </w:p>
    <w:bookmarkEnd w:id="20"/>
    <w:bookmarkStart w:id="23" w:name="market-analysis-the-auckland-context"/>
    <w:p>
      <w:pPr>
        <w:pStyle w:val="Heading2"/>
      </w:pPr>
      <w:r>
        <w:t xml:space="preserve">2. Market Analysis: The Auckland Context</w:t>
      </w:r>
    </w:p>
    <w:p>
      <w:pPr>
        <w:pStyle w:val="FirstParagraph"/>
      </w:pPr>
      <w:r>
        <w:t xml:space="preserve">Auckland is not only the largest city in New Zealand but also its economic hub, home to approximately 1.7 million people. The demographic landscape of Auckland is characterized by a young, multicultural population with high disposable income levels in specific suburbs such as Remuera, Mission Bay, and Ponsonby. This demographic profile aligns perfectly with the target market for premium orthodontic services.</w:t>
      </w:r>
    </w:p>
    <w:bookmarkStart w:id="21" w:name="demand-drivers"/>
    <w:p>
      <w:pPr>
        <w:pStyle w:val="Heading3"/>
      </w:pPr>
      <w:r>
        <w:t xml:space="preserve">2.1 Demand Drivers</w:t>
      </w:r>
    </w:p>
    <w:p>
      <w:pPr>
        <w:pStyle w:val="FirstParagraph"/>
      </w:pPr>
      <w:r>
        <w:t xml:space="preserve">The demand for orthodontic treatment in New Zealand has been steadily rising due to several factors:</w:t>
      </w:r>
    </w:p>
    <w:p>
      <w:pPr>
        <w:numPr>
          <w:ilvl w:val="0"/>
          <w:numId w:val="1001"/>
        </w:numPr>
        <w:pStyle w:val="Compact"/>
      </w:pPr>
      <w:r>
        <w:rPr>
          <w:bCs/>
          <w:b/>
        </w:rPr>
        <w:t xml:space="preserve">Aesthetic Awareness:</w:t>
      </w:r>
    </w:p>
    <w:p>
      <w:pPr>
        <w:numPr>
          <w:ilvl w:val="0"/>
          <w:numId w:val="1001"/>
        </w:numPr>
        <w:pStyle w:val="Compact"/>
      </w:pPr>
      <w:r>
        <w:rPr>
          <w:bCs/>
          <w:b/>
        </w:rPr>
        <w:t xml:space="preserve">Mental Health and Confidence:</w:t>
      </w:r>
      <w:r>
        <w:t xml:space="preserve"> </w:t>
      </w:r>
      <w:r>
        <w:t xml:space="preserve">Increased awareness of the link between oral health and self-esteem has led more individuals to seek correction for malocclusions that affect their speech or appearance.</w:t>
      </w:r>
    </w:p>
    <w:p>
      <w:pPr>
        <w:numPr>
          <w:ilvl w:val="0"/>
          <w:numId w:val="1001"/>
        </w:numPr>
        <w:pStyle w:val="Compact"/>
      </w:pPr>
      <w:r>
        <w:rPr>
          <w:bCs/>
          <w:b/>
        </w:rPr>
        <w:t xml:space="preserve">Growing Population:</w:t>
      </w:r>
      <w:r>
        <w:t xml:space="preserve"> </w:t>
      </w:r>
      <w:r>
        <w:t xml:space="preserve">Auckland’s population growth, fueled by both natural increase and immigration from Asia and other regions, expands the patient base significantly.</w:t>
      </w:r>
    </w:p>
    <w:bookmarkEnd w:id="21"/>
    <w:bookmarkStart w:id="22" w:name="competitive-landscape"/>
    <w:p>
      <w:pPr>
        <w:pStyle w:val="Heading3"/>
      </w:pPr>
      <w:r>
        <w:t xml:space="preserve">2.2 Competitive Landscape</w:t>
      </w:r>
    </w:p>
    <w:p>
      <w:pPr>
        <w:pStyle w:val="FirstParagraph"/>
      </w:pPr>
      <w:r>
        <w:t xml:space="preserve">The current market in Auckland is saturated with general dental practices offering basic orthodontic services. However, there is a notable gap in the market for specialized, full-time</w:t>
      </w:r>
      <w:r>
        <w:t xml:space="preserve"> </w:t>
      </w:r>
      <w:r>
        <w:rPr>
          <w:bCs/>
          <w:b/>
        </w:rPr>
        <w:t xml:space="preserve">New Zealand Auckland</w:t>
      </w:r>
      <w:r>
        <w:t xml:space="preserve">-based orthodontist clinics that offer comprehensive digital workflows, including 3D intraoral scanning and AI-driven treatment planning. Competitors often struggle with long wait times due to high volume; our strategy focuses on personalized care and efficient appointment scheduling.</w:t>
      </w:r>
    </w:p>
    <w:bookmarkEnd w:id="22"/>
    <w:bookmarkEnd w:id="23"/>
    <w:bookmarkStart w:id="26" w:name="regulatory-and-professional-framework"/>
    <w:p>
      <w:pPr>
        <w:pStyle w:val="Heading2"/>
      </w:pPr>
      <w:r>
        <w:t xml:space="preserve">3. Regulatory and Professional Framework</w:t>
      </w:r>
    </w:p>
    <w:p>
      <w:pPr>
        <w:pStyle w:val="FirstParagraph"/>
      </w:pPr>
      <w:r>
        <w:t xml:space="preserve">To operate legally and ethically in New Zealand, strict adherence to local regulations is paramount. The establishment of an orthodontic practice must comply with the guidelines set forth by the Dental Council of New Zealand (DCNZ) and Health New Zealand (Te Whatu Ora).</w:t>
      </w:r>
    </w:p>
    <w:bookmarkStart w:id="24" w:name="professional-registration"/>
    <w:p>
      <w:pPr>
        <w:pStyle w:val="Heading3"/>
      </w:pPr>
      <w:r>
        <w:t xml:space="preserve">3.1 Professional Registration</w:t>
      </w:r>
    </w:p>
    <w:p>
      <w:pPr>
        <w:pStyle w:val="FirstParagraph"/>
      </w:pPr>
      <w:r>
        <w:t xml:space="preserve">All practicing orthodontists must be registered with the Dental Council of New Zealand. This requires specific postgraduate qualifications recognized in NZ, such as a Master’s degree in Orthodontics from an accredited institution. The project team will ensure that all clinical staff hold current licenses and are members of the New Zealand Society of Orthodontists (NZSO), which upholds professional standards and continuing education requirements.</w:t>
      </w:r>
    </w:p>
    <w:bookmarkEnd w:id="24"/>
    <w:bookmarkStart w:id="25" w:name="health-and-safety-compliance"/>
    <w:p>
      <w:pPr>
        <w:pStyle w:val="Heading3"/>
      </w:pPr>
      <w:r>
        <w:t xml:space="preserve">3.2 Health and Safety Compliance</w:t>
      </w:r>
    </w:p>
    <w:p>
      <w:pPr>
        <w:pStyle w:val="FirstParagraph"/>
      </w:pPr>
      <w:r>
        <w:t xml:space="preserve">The clinic must adhere to the Health and Safety at Work Act 2015. This includes rigorous protocols for infection control, radiation safety (for X-rays), and emergency preparedness. Auckland’s specific building codes must be met, particularly regarding accessibility for patients with disabilities.</w:t>
      </w:r>
    </w:p>
    <w:bookmarkEnd w:id="25"/>
    <w:bookmarkEnd w:id="26"/>
    <w:bookmarkStart w:id="30" w:name="operational-strategy"/>
    <w:p>
      <w:pPr>
        <w:pStyle w:val="Heading2"/>
      </w:pPr>
      <w:r>
        <w:t xml:space="preserve">4. Operational Strategy</w:t>
      </w:r>
    </w:p>
    <w:bookmarkStart w:id="27" w:name="location-selection"/>
    <w:p>
      <w:pPr>
        <w:pStyle w:val="Heading3"/>
      </w:pPr>
      <w:r>
        <w:t xml:space="preserve">4.1 Location Selection</w:t>
      </w:r>
    </w:p>
    <w:p>
      <w:pPr>
        <w:pStyle w:val="FirstParagraph"/>
      </w:pPr>
      <w:r>
        <w:t xml:space="preserve">The proposed location is in the Central Business District (CBD) of Auckland or a high-traffic suburb like Epsom or Newmarket. Accessibility via public transport, including buses and trains, is critical given Auckland’s traffic congestion. Proximity to schools will also be a factor for pediatric orthodontics.</w:t>
      </w:r>
    </w:p>
    <w:bookmarkEnd w:id="27"/>
    <w:bookmarkStart w:id="28" w:name="technology-integration"/>
    <w:p>
      <w:pPr>
        <w:pStyle w:val="Heading3"/>
      </w:pPr>
      <w:r>
        <w:t xml:space="preserve">4.2 Technology Integration</w:t>
      </w:r>
    </w:p>
    <w:p>
      <w:pPr>
        <w:pStyle w:val="FirstParagraph"/>
      </w:pPr>
      <w:r>
        <w:t xml:space="preserve">A key differentiator for this practice will be the integration of advanced technology. We plan to implement:</w:t>
      </w:r>
    </w:p>
    <w:p>
      <w:pPr>
        <w:pStyle w:val="BodyText"/>
      </w:pPr>
      <w:r>
        <w:rPr>
          <w:bCs/>
          <w:b/>
        </w:rPr>
        <w:t xml:space="preserve">Intraoral Scanners:</w:t>
      </w:r>
    </w:p>
    <w:p>
      <w:pPr>
        <w:pStyle w:val="BodyText"/>
      </w:pPr>
      <w:r>
        <w:t xml:space="preserve">To eliminate uncomfortable traditional impressions.</w:t>
      </w:r>
    </w:p>
    <w:p>
      <w:pPr>
        <w:pStyle w:val="BodyText"/>
      </w:pPr>
      <w:r>
        <w:rPr>
          <w:bCs/>
          <w:b/>
        </w:rPr>
        <w:t xml:space="preserve">CBCT Imaging:</w:t>
      </w:r>
      <w:r>
        <w:t xml:space="preserve"> </w:t>
      </w:r>
      <w:r>
        <w:t xml:space="preserve">On-site Cone Beam Computed Tomography for precise 3D diagnostics.</w:t>
      </w:r>
    </w:p>
    <w:bookmarkEnd w:id="28"/>
    <w:bookmarkStart w:id="29" w:name="staffing"/>
    <w:p>
      <w:pPr>
        <w:pStyle w:val="Heading3"/>
      </w:pPr>
      <w:r>
        <w:t xml:space="preserve">4.3 Staffing</w:t>
      </w:r>
    </w:p>
    <w:p>
      <w:pPr>
        <w:pStyle w:val="FirstParagraph"/>
      </w:pPr>
      <w:r>
        <w:t xml:space="preserve">The team will consist of two lead orthodontists, two dental assistants trained in orthodontics, and administrative staff fluent in multiple languages to cater to Auckland’s diverse population, including English, Mandarin, and Hindi speakers.</w:t>
      </w:r>
    </w:p>
    <w:bookmarkEnd w:id="29"/>
    <w:bookmarkEnd w:id="30"/>
    <w:bookmarkStart w:id="31" w:name="financial-projections"/>
    <w:p>
      <w:pPr>
        <w:pStyle w:val="Heading2"/>
      </w:pPr>
      <w:r>
        <w:t xml:space="preserve">5. Financial Projections</w:t>
      </w:r>
    </w:p>
    <w:p>
      <w:pPr>
        <w:pStyle w:val="FirstParagraph"/>
      </w:pPr>
      <w:r>
        <w:t xml:space="preserve">The initial capital expenditure includes leasehold improvements for the Auckland premises, purchase of dental chairs and digital scanning equipment, and marketing launch costs. Revenue streams will primarily come from private patient fees. It is important to note that while some orthodontic treatment for children under 18 may be subsidized by the Ministry of Health in New Zealand under specific criteria (such as severe functional impairment or syndromic cases), the majority of adult treatments and cosmetic procedures are out-of-pocket expenses.</w:t>
      </w:r>
    </w:p>
    <w:p>
      <w:pPr>
        <w:pStyle w:val="BodyText"/>
      </w:pPr>
      <w:r>
        <w:t xml:space="preserve">Break-even analysis suggests that with a patient load of 15 new cases per month, the clinic will achieve profitability within the first 18 months. Pricing strategies will be competitive yet reflective of the high standard of care provided in Auckland’s premium healthcare sector.</w:t>
      </w:r>
    </w:p>
    <w:bookmarkEnd w:id="31"/>
    <w:bookmarkStart w:id="32" w:name="risk-management"/>
    <w:p>
      <w:pPr>
        <w:pStyle w:val="Heading2"/>
      </w:pPr>
      <w:r>
        <w:t xml:space="preserve">6. Risk Management</w:t>
      </w:r>
    </w:p>
    <w:p>
      <w:pPr>
        <w:pStyle w:val="FirstParagraph"/>
      </w:pPr>
      <w:r>
        <w:rPr>
          <w:bCs/>
          <w:b/>
        </w:rPr>
        <w:t xml:space="preserve">Economic Fluctuations:</w:t>
      </w:r>
    </w:p>
    <w:p>
      <w:pPr>
        <w:pStyle w:val="BodyText"/>
      </w:pPr>
      <w:r>
        <w:t xml:space="preserve">Inflation may increase operational costs. Mitigation involves fixed-price contracts with suppliers and flexible pricing models.</w:t>
      </w:r>
    </w:p>
    <w:p>
      <w:pPr>
        <w:pStyle w:val="BodyText"/>
      </w:pPr>
      <w:r>
        <w:rPr>
          <w:bCs/>
          <w:b/>
        </w:rPr>
        <w:t xml:space="preserve">Talent Retention:&gt;</w:t>
      </w:r>
    </w:p>
    <w:bookmarkEnd w:id="32"/>
    <w:bookmarkStart w:id="33" w:name="conclusion"/>
    <w:p>
      <w:pPr>
        <w:pStyle w:val="Heading2"/>
      </w:pPr>
      <w:r>
        <w:t xml:space="preserve">7. Conclusion</w:t>
      </w:r>
    </w:p>
    <w:p>
      <w:pPr>
        <w:pStyle w:val="FirstParagraph"/>
      </w:pPr>
      <w:r>
        <w:t xml:space="preserve">The establishment of this specialized orthodontic practice represents a strategic opportunity to meet the growing demand for high-quality dental care in Auckland. By focusing on advanced technology, patient-centered service, and strict adherence to New Zealand regulatory standards, this project is poised for success. The combination of Auckland’s growing population and the rising trend in aesthetic dentistry creates a favorable environment for an</w:t>
      </w:r>
      <w:r>
        <w:t xml:space="preserve"> </w:t>
      </w:r>
      <w:r>
        <w:rPr>
          <w:bCs/>
          <w:b/>
        </w:rPr>
        <w:t xml:space="preserve">Orthodontist</w:t>
      </w:r>
      <w:r>
        <w:t xml:space="preserve"> </w:t>
      </w:r>
      <w:r>
        <w:t xml:space="preserve">practice dedicated to excellence.</w:t>
      </w:r>
    </w:p>
    <w:p>
      <w:pPr>
        <w:pStyle w:val="BodyText"/>
      </w:pPr>
      <w:r>
        <w:t xml:space="preserve">We recommend proceeding with the site selection phase immediately, contingent upon final approval from the investment committee. This initiative will not only generate significant financial returns but also contribute positively to the public health landscape of New Zealand, Auckland region by improving oral health outcomes for thousands of residents.</w:t>
      </w:r>
    </w:p>
    <w:p>
      <w:pPr>
        <w:pStyle w:val="BodyText"/>
      </w:pPr>
      <w:r>
        <w:rPr>
          <w:bCs/>
          <w:b/>
        </w:rPr>
        <w:t xml:space="preserve">Next Steps:</w:t>
      </w:r>
    </w:p>
    <w:p>
      <w:pPr>
        <w:numPr>
          <w:ilvl w:val="0"/>
          <w:numId w:val="1002"/>
        </w:numPr>
        <w:pStyle w:val="Compact"/>
      </w:pPr>
      <w:r>
        <w:t xml:space="preserve">Finalize site leases in Auckland CBD or Eastern suburbs.</w:t>
      </w:r>
    </w:p>
    <w:p>
      <w:pPr>
        <w:numPr>
          <w:ilvl w:val="0"/>
          <w:numId w:val="1002"/>
        </w:numPr>
        <w:pStyle w:val="Compact"/>
      </w:pPr>
      <w:r>
        <w:t xml:space="preserve">Audit prospective staff credentials for DCNZ registration.</w:t>
      </w:r>
    </w:p>
    <w:p>
      <w:pPr>
        <w:numPr>
          <w:ilvl w:val="0"/>
          <w:numId w:val="1002"/>
        </w:numPr>
        <w:pStyle w:val="Compact"/>
      </w:pPr>
      <w:r>
        <w:t xml:space="preserve">Detailed design of clinic layout based on digital workflow requirements.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Orthodontic Practice in New Zealand, Auckland</dc:title>
  <dc:creator/>
  <cp:keywords/>
  <dcterms:created xsi:type="dcterms:W3CDTF">2026-07-30T07:12:23Z</dcterms:created>
  <dcterms:modified xsi:type="dcterms:W3CDTF">2026-07-30T07:12:23Z</dcterms:modified>
</cp:coreProperties>
</file>

<file path=docProps/custom.xml><?xml version="1.0" encoding="utf-8"?>
<Properties xmlns="http://schemas.openxmlformats.org/officeDocument/2006/custom-properties" xmlns:vt="http://schemas.openxmlformats.org/officeDocument/2006/docPropsVTypes"/>
</file>