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Russia</w:t>
      </w:r>
      <w:r>
        <w:t xml:space="preserve"> </w:t>
      </w:r>
      <w:r>
        <w:t xml:space="preserve">Moscow</w:t>
      </w:r>
    </w:p>
    <w:bookmarkStart w:id="28" w:name="X73aa962546dc25550a5252d121d6c8c5d830182"/>
    <w:p>
      <w:pPr>
        <w:pStyle w:val="Heading1"/>
      </w:pPr>
      <w:r>
        <w:t xml:space="preserve">Project Report: Strategic Implementation of Premium Orthodontist Services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r>
        <w:rPr>
          <w:bCs/>
          <w:b/>
        </w:rPr>
        <w:t xml:space="preserve">Subject:</w:t>
      </w:r>
    </w:p>
    <w:bookmarkStart w:id="20" w:name="executive-summary"/>
    <w:p>
      <w:pPr>
        <w:pStyle w:val="Heading2"/>
      </w:pPr>
      <w:r>
        <w:t xml:space="preserve">1. Executive Summary</w:t>
      </w:r>
    </w:p>
    <w:p>
      <w:pPr>
        <w:pStyle w:val="FirstParagraph"/>
      </w:pPr>
      <w:r>
        <w:t xml:space="preserve">p&gt;This report outlines the strategic plan for establishing a high-end orthodontic clinic in the heart of Russia Moscow. As the capital city, Russia Moscow presents a unique convergence of economic resilience, growing middle-class demographics, and an increasing demand for aesthetic healthcare services. The primary objective is to introduce a state-of-the-art</w:t>
      </w:r>
      <w:r>
        <w:t xml:space="preserve"> </w:t>
      </w:r>
      <w:r>
        <w:rPr>
          <w:bCs/>
          <w:b/>
        </w:rPr>
        <w:t xml:space="preserve">Orthodontist</w:t>
      </w:r>
      <w:r>
        <w:t xml:space="preserve"> </w:t>
      </w:r>
      <w:r>
        <w:t xml:space="preserve">practice that caters to both domestic high-net-worth individuals and international expatriates. This document details the market landscape, operational requirements, regulatory considerations specific to</w:t>
      </w:r>
      <w:r>
        <w:t xml:space="preserve"> </w:t>
      </w:r>
      <w:r>
        <w:rPr>
          <w:bCs/>
          <w:b/>
        </w:rPr>
        <w:t xml:space="preserve">Russia Moscow</w:t>
      </w:r>
      <w:r>
        <w:t xml:space="preserve">, and projected financial outcomes.</w:t>
      </w:r>
    </w:p>
    <w:bookmarkEnd w:id="20"/>
    <w:bookmarkStart w:id="21" w:name="market-analysis-in-russia-moscow"/>
    <w:p>
      <w:pPr>
        <w:pStyle w:val="Heading2"/>
      </w:pPr>
      <w:r>
        <w:t xml:space="preserve">2. Market Analysis in Russia Moscow</w:t>
      </w:r>
    </w:p>
    <w:p>
      <w:pPr>
        <w:pStyle w:val="FirstParagraph"/>
      </w:pPr>
      <w:r>
        <w:t xml:space="preserve">The healthcare sector in</w:t>
      </w:r>
      <w:r>
        <w:t xml:space="preserve"> </w:t>
      </w:r>
      <w:r>
        <w:rPr>
          <w:bCs/>
          <w:b/>
        </w:rPr>
        <w:t xml:space="preserve">Russia Moscow</w:t>
      </w:r>
      <w:r>
        <w:t xml:space="preserve">Russia Moscow</w:t>
      </w:r>
    </w:p>
    <w:p>
      <w:pPr>
        <w:pStyle w:val="BodyText"/>
      </w:pPr>
      <w:r>
        <w:t xml:space="preserve">Recent trends indicate a shift away from traditional metal braces toward invisible aligners and ceramic brackets, driven by social media influence and professional image concerns. This demand is particularly pronounced among professionals aged 25 to 45 residing in the affluent districts of</w:t>
      </w:r>
      <w:r>
        <w:t xml:space="preserve"> </w:t>
      </w:r>
      <w:r>
        <w:rPr>
          <w:bCs/>
          <w:b/>
        </w:rPr>
        <w:t xml:space="preserve">Russia Moscow</w:t>
      </w:r>
      <w:r>
        <w:t xml:space="preserve">Orthodontist</w:t>
      </w:r>
    </w:p>
    <w:bookmarkEnd w:id="21"/>
    <w:bookmarkStart w:id="22" w:name="X740e275241244cbd69116147023f5ee189a3f5c"/>
    <w:p>
      <w:pPr>
        <w:pStyle w:val="Heading2"/>
      </w:pPr>
      <w:r>
        <w:t xml:space="preserve">3. Strategic Positioning of the Orthodontist Service</w:t>
      </w:r>
    </w:p>
    <w:p>
      <w:pPr>
        <w:pStyle w:val="FirstParagraph"/>
      </w:pPr>
      <w:r>
        <w:t xml:space="preserve">To succeed in the competitive landscape of</w:t>
      </w:r>
    </w:p>
    <w:p>
      <w:pPr>
        <w:pStyle w:val="BodyText"/>
      </w:pPr>
      <w:r>
        <w:t xml:space="preserve">Russia MoscowOrthodontist Technological Superiority: Utilization of 3D intraoral scanners and AI-driven treatment planning software that rivals leading clinics in Western Europe.</w:t>
      </w:r>
    </w:p>
    <w:p>
      <w:pPr>
        <w:pStyle w:val="BodyText"/>
      </w:pPr>
      <w:r>
        <w:t xml:space="preserve">Patient-Centric Care: Recognizing the cultural nuances of</w:t>
      </w:r>
      <w:r>
        <w:t xml:space="preserve"> </w:t>
      </w:r>
      <w:r>
        <w:rPr>
          <w:bCs/>
          <w:b/>
        </w:rPr>
        <w:t xml:space="preserve">Russia Moscow</w:t>
      </w:r>
    </w:p>
    <w:p>
      <w:pPr>
        <w:pStyle w:val="BodyText"/>
      </w:pPr>
      <w:r>
        <w:t xml:space="preserve">Transparency: Clear pricing structures that address the common concerns of patients in</w:t>
      </w:r>
    </w:p>
    <w:p>
      <w:pPr>
        <w:pStyle w:val="BodyText"/>
      </w:pPr>
      <w:r>
        <w:t xml:space="preserve">Russia Moscow</w:t>
      </w:r>
    </w:p>
    <w:p>
      <w:pPr>
        <w:pStyle w:val="BodyText"/>
      </w:pPr>
      <w:r>
        <w:t xml:space="preserve">The role of the lead</w:t>
      </w:r>
      <w:r>
        <w:t xml:space="preserve"> </w:t>
      </w:r>
      <w:r>
        <w:rPr>
          <w:bCs/>
          <w:b/>
        </w:rPr>
        <w:t xml:space="preserve">Orthodontist</w:t>
      </w:r>
    </w:p>
    <w:bookmarkEnd w:id="22"/>
    <w:bookmarkStart w:id="23" w:name="X668bb133e4c83e5e18b2642cac72b28afce0410"/>
    <w:p>
      <w:pPr>
        <w:pStyle w:val="Heading2"/>
      </w:pPr>
      <w:r>
        <w:t xml:space="preserve">4. Operational Framework and Regulatory Compliance in Russia Moscow</w:t>
      </w:r>
    </w:p>
    <w:p>
      <w:pPr>
        <w:pStyle w:val="FirstParagraph"/>
      </w:pPr>
      <w:r>
        <w:t xml:space="preserve">Establishing a medical facility in</w:t>
      </w:r>
      <w:r>
        <w:t xml:space="preserve"> </w:t>
      </w:r>
      <w:r>
        <w:rPr>
          <w:bCs/>
          <w:b/>
        </w:rPr>
        <w:t xml:space="preserve">Russia Moscow</w:t>
      </w:r>
      <w:r>
        <w:t xml:space="preserve">Licensing: Obtaining the necessary license from Roszdravnadzor (the Federal Service for Surveillance in Healthcare) is mandatory. Given the location in</w:t>
      </w:r>
      <w:r>
        <w:t xml:space="preserve"> </w:t>
      </w:r>
      <w:r>
        <w:rPr>
          <w:bCs/>
          <w:b/>
        </w:rPr>
        <w:t xml:space="preserve">Russia Moscow</w:t>
      </w:r>
    </w:p>
    <w:p>
      <w:pPr>
        <w:pStyle w:val="BodyText"/>
      </w:pPr>
      <w:r>
        <w:t xml:space="preserve">Staffing: Recruiting certified</w:t>
      </w:r>
      <w:r>
        <w:t xml:space="preserve"> </w:t>
      </w:r>
      <w:r>
        <w:rPr>
          <w:bCs/>
          <w:b/>
        </w:rPr>
        <w:t xml:space="preserve">Orthodontist</w:t>
      </w:r>
    </w:p>
    <w:p>
      <w:pPr>
        <w:pStyle w:val="BodyText"/>
      </w:pPr>
      <w:r>
        <w:t xml:space="preserve">Supply Chain: Establishing reliable logistics for importing aligners and brackets. Due to current geopolitical sanctions affecting trade, sourcing medical supplies into</w:t>
      </w:r>
      <w:r>
        <w:t xml:space="preserve"> </w:t>
      </w:r>
      <w:r>
        <w:rPr>
          <w:bCs/>
          <w:b/>
        </w:rPr>
        <w:t xml:space="preserve">Russia Moscow</w:t>
      </w:r>
    </w:p>
    <w:p>
      <w:pPr>
        <w:pStyle w:val="BodyText"/>
      </w:pPr>
      <w:r>
        <w:t xml:space="preserve">The clinic will be situated in a premium business district of</w:t>
      </w:r>
      <w:r>
        <w:t xml:space="preserve"> </w:t>
      </w:r>
      <w:r>
        <w:rPr>
          <w:bCs/>
          <w:b/>
        </w:rPr>
        <w:t xml:space="preserve">Russia Moscow</w:t>
      </w:r>
    </w:p>
    <w:bookmarkEnd w:id="23"/>
    <w:bookmarkStart w:id="24" w:name="marketing-strategy"/>
    <w:p>
      <w:pPr>
        <w:pStyle w:val="Heading2"/>
      </w:pPr>
      <w:r>
        <w:t xml:space="preserve">5. Marketing Strategy</w:t>
      </w:r>
    </w:p>
    <w:p>
      <w:pPr>
        <w:pStyle w:val="FirstParagraph"/>
      </w:pPr>
      <w:r>
        <w:t xml:space="preserve">Marketing efforts targeting</w:t>
      </w:r>
    </w:p>
    <w:p>
      <w:pPr>
        <w:pStyle w:val="BodyText"/>
      </w:pPr>
      <w:r>
        <w:t xml:space="preserve">Russia Moscow Orthodontist.</w:t>
      </w:r>
    </w:p>
    <w:p>
      <w:pPr>
        <w:pStyle w:val="BodyText"/>
      </w:pPr>
      <w:r>
        <w:t xml:space="preserve">Partnerships with high-end fashion boutiques and corporate HR departments in</w:t>
      </w:r>
      <w:r>
        <w:t xml:space="preserve"> </w:t>
      </w:r>
      <w:r>
        <w:rPr>
          <w:bCs/>
          <w:b/>
        </w:rPr>
        <w:t xml:space="preserve">Russia Moscow</w:t>
      </w:r>
    </w:p>
    <w:bookmarkEnd w:id="24"/>
    <w:bookmarkStart w:id="25" w:name="financial-projections"/>
    <w:p>
      <w:pPr>
        <w:pStyle w:val="Heading2"/>
      </w:pPr>
      <w:r>
        <w:t xml:space="preserve">6. Financial Projections</w:t>
      </w:r>
    </w:p>
    <w:p>
      <w:pPr>
        <w:pStyle w:val="FirstParagraph"/>
      </w:pPr>
      <w:r>
        <w:t xml:space="preserve">The initial capital investment for the clinic setup, including leasehold improvements, medical equipment acquisition, and licensing fees in</w:t>
      </w:r>
    </w:p>
    <w:p>
      <w:pPr>
        <w:pStyle w:val="BodyText"/>
      </w:pPr>
      <w:r>
        <w:t xml:space="preserve">Russia Moscow, is estimated at a significant sum. However, the return on investment (ROI) is projected to be positive within 18 months due to high average ticket prices and steady patient volume.</w:t>
      </w:r>
    </w:p>
    <w:p>
      <w:pPr>
        <w:pStyle w:val="BodyText"/>
      </w:pPr>
      <w:r>
        <w:t xml:space="preserve">Cost Category</w:t>
      </w:r>
    </w:p>
    <w:p>
      <w:pPr>
        <w:pStyle w:val="BodyText"/>
      </w:pPr>
      <w:r>
        <w:t xml:space="preserve">Description</w:t>
      </w:r>
    </w:p>
    <w:p>
      <w:pPr>
        <w:pStyle w:val="BodyText"/>
      </w:pPr>
      <w:r>
        <w:t xml:space="preserve">Furniture &amp; Equipment</w:t>
      </w:r>
    </w:p>
    <w:p>
      <w:pPr>
        <w:pStyle w:val="BodyText"/>
      </w:pPr>
      <w:r>
        <w:t xml:space="preserve">Intraoral scanners, chairs, sterilization units.&lt;tr&gt;</w:t>
      </w:r>
    </w:p>
    <w:bookmarkEnd w:id="25"/>
    <w:bookmarkStart w:id="26" w:name="risk-management"/>
    <w:p>
      <w:pPr>
        <w:pStyle w:val="Heading2"/>
      </w:pPr>
      <w:r>
        <w:t xml:space="preserve">7. Risk Management</w:t>
      </w:r>
    </w:p>
    <w:p>
      <w:pPr>
        <w:pStyle w:val="FirstParagraph"/>
      </w:pPr>
      <w:r>
        <w:t xml:space="preserve">The primary risks identified involve economic volatility in</w:t>
      </w:r>
      <w:r>
        <w:t xml:space="preserve"> </w:t>
      </w:r>
      <w:r>
        <w:rPr>
          <w:bCs/>
          <w:b/>
        </w:rPr>
        <w:t xml:space="preserve">Russia Moscow</w:t>
      </w:r>
    </w:p>
    <w:bookmarkEnd w:id="26"/>
    <w:bookmarkStart w:id="27" w:name="conclusion"/>
    <w:p>
      <w:pPr>
        <w:pStyle w:val="Heading2"/>
      </w:pPr>
      <w:r>
        <w:t xml:space="preserve">8. Conclusion</w:t>
      </w:r>
    </w:p>
    <w:p>
      <w:pPr>
        <w:pStyle w:val="FirstParagraph"/>
      </w:pPr>
      <w:r>
        <w:t xml:space="preserve">The establishment of a premium</w:t>
      </w:r>
      <w:r>
        <w:t xml:space="preserve"> </w:t>
      </w:r>
      <w:r>
        <w:rPr>
          <w:bCs/>
          <w:b/>
        </w:rPr>
        <w:t xml:space="preserve">Orthodontist</w:t>
      </w:r>
      <w:r>
        <w:t xml:space="preserve"> </w:t>
      </w:r>
      <w:r>
        <w:t xml:space="preserve">clinic in</w:t>
      </w:r>
      <w:r>
        <w:t xml:space="preserve"> </w:t>
      </w:r>
      <w:r>
        <w:rPr>
          <w:bCs/>
          <w:b/>
        </w:rPr>
        <w:t xml:space="preserve">Russia MoscowRussia Moscow</w:t>
      </w:r>
      <w:r>
        <w:t xml:space="preserve">. We recommend proceeding with the site selection phase immediately to capitalize on current market opportunities.</w:t>
      </w:r>
    </w:p>
    <w:p>
      <w:r>
        <w:pict>
          <v:rect style="width:0;height:1.5pt" o:hralign="center" o:hrstd="t" o:hr="t"/>
        </w:pict>
      </w:r>
    </w:p>
    <w:p>
      <w:pPr>
        <w:pStyle w:val="FirstParagraph"/>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Russia Moscow</dc:title>
  <dc:creator/>
  <dc:language>en</dc:language>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