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6" w:name="project-report"/>
    <w:p>
      <w:pPr>
        <w:pStyle w:val="Heading1"/>
      </w:pPr>
      <w:r>
        <w:rPr>
          <w:bCs/>
          <w:b/>
        </w:rPr>
        <w:t xml:space="preserve">Project Report:</w:t>
      </w:r>
    </w:p>
    <w:p>
      <w:pPr>
        <w:pStyle w:val="FirstParagraph"/>
      </w:pPr>
      <w:r>
        <w:br/>
      </w:r>
    </w:p>
    <w:p>
      <w:pPr>
        <w:pStyle w:val="BodyText"/>
      </w:pPr>
      <w:r>
        <w:t xml:space="preserve">A comprehensive analysis of the strategic implementation, regulatory compliance, and operational framework for establishing a state-of-the-art</w:t>
      </w:r>
      <w:r>
        <w:t xml:space="preserve"> </w:t>
      </w:r>
      <w:r>
        <w:rPr>
          <w:u w:val="single"/>
          <w:bCs/>
          <w:b/>
        </w:rPr>
        <w:t xml:space="preserve">Pharmacist</w:t>
      </w:r>
      <w:r>
        <w:t xml:space="preserve">-led healthcare service center within the bustling metropolis of</w:t>
      </w:r>
      <w:r>
        <w:t xml:space="preserve"> </w:t>
      </w:r>
      <w:r>
        <w:rPr>
          <w:iCs/>
          <w:i/>
        </w:rPr>
        <w:t xml:space="preserve">Indonesia Jakarta</w:t>
      </w:r>
      <w:r>
        <w:t xml:space="preserve">.</w:t>
      </w:r>
    </w:p>
    <w:bookmarkStart w:id="20" w:name="executive-summary"/>
    <w:p>
      <w:pPr>
        <w:pStyle w:val="Heading2"/>
      </w:pPr>
      <w:r>
        <w:rPr>
          <w:bCs/>
          <w:b/>
        </w:rPr>
        <w:t xml:space="preserve">1. Executive Summary</w:t>
      </w:r>
    </w:p>
    <w:p>
      <w:pPr>
        <w:pStyle w:val="FirstParagraph"/>
      </w:pPr>
      <w:r>
        <w:br/>
      </w:r>
    </w:p>
    <w:p>
      <w:pPr>
        <w:pStyle w:val="BodyText"/>
      </w:pPr>
      <w:r>
        <w:t xml:space="preserve">This report outlines a critical initiative aimed at modernizing pharmaceutical care delivery in</w:t>
      </w:r>
      <w:r>
        <w:t xml:space="preserve"> </w:t>
      </w:r>
      <w:r>
        <w:rPr>
          <w:bCs/>
          <w:b/>
        </w:rPr>
        <w:t xml:space="preserve">Indonesia Jakarta</w:t>
      </w:r>
      <w:r>
        <w:t xml:space="preserve">. As one of the most densely populated urban centers globally,</w:t>
      </w:r>
      <w:r>
        <w:t xml:space="preserve"> </w:t>
      </w:r>
      <w:r>
        <w:rPr>
          <w:iCs/>
          <w:i/>
        </w:rPr>
        <w:t xml:space="preserve">Indonesia Jakarta</w:t>
      </w:r>
      <w:r>
        <w:t xml:space="preserve"> </w:t>
      </w:r>
      <w:r>
        <w:t xml:space="preserve">faces unique challenges regarding healthcare accessibility and medication management. The proposed project focuses on deploying an advanced network of specialized</w:t>
      </w:r>
      <w:r>
        <w:t xml:space="preserve"> </w:t>
      </w:r>
      <w:r>
        <w:rPr>
          <w:u w:val="single"/>
          <w:bCs/>
          <w:b/>
        </w:rPr>
        <w:t xml:space="preserve">Pharmacist</w:t>
      </w:r>
      <w:r>
        <w:t xml:space="preserve"> </w:t>
      </w:r>
      <w:r>
        <w:t xml:space="preserve">clinics designed to bridge the gap between medical practitioners and patient adherence. By leveraging local regulations while adhering to international best practices, this initiative seeks to enhance public health outcomes across the region.</w:t>
      </w:r>
    </w:p>
    <w:bookmarkEnd w:id="20"/>
    <w:bookmarkStart w:id="21" w:name="introduction-and-background"/>
    <w:p>
      <w:pPr>
        <w:pStyle w:val="Heading2"/>
      </w:pPr>
      <w:r>
        <w:rPr>
          <w:bCs/>
          <w:b/>
        </w:rPr>
        <w:t xml:space="preserve">2. Introduction and Background</w:t>
      </w:r>
    </w:p>
    <w:p>
      <w:pPr>
        <w:pStyle w:val="FirstParagraph"/>
      </w:pPr>
      <w:r>
        <w:br/>
      </w:r>
    </w:p>
    <w:p>
      <w:pPr>
        <w:pStyle w:val="BodyText"/>
      </w:pPr>
      <w:r>
        <w:t xml:space="preserve">The healthcare landscape in</w:t>
      </w:r>
      <w:r>
        <w:t xml:space="preserve"> </w:t>
      </w:r>
      <w:r>
        <w:rPr>
          <w:bCs/>
          <w:b/>
        </w:rPr>
        <w:t xml:space="preserve">Indonesia Jakarta</w:t>
      </w:r>
      <w:r>
        <w:t xml:space="preserve"> </w:t>
      </w:r>
      <w:r>
        <w:t xml:space="preserve">has been rapidly evolving over the past decade. With a growing middle class and an increasing prevalence of non-communicable diseases such as diabetes, hypertension, and cardiovascular disorders, the demand for professional pharmaceutical services has surged. Historically, pharmacy services in</w:t>
      </w:r>
      <w:r>
        <w:t xml:space="preserve"> </w:t>
      </w:r>
      <w:r>
        <w:rPr>
          <w:iCs/>
          <w:i/>
        </w:rPr>
        <w:t xml:space="preserve">Indonesia Jakarta</w:t>
      </w:r>
      <w:r>
        <w:t xml:space="preserve"> </w:t>
      </w:r>
      <w:r>
        <w:t xml:space="preserve">were largely transactional, focusing primarily on dispensing medications rather than providing clinical consultations.</w:t>
      </w:r>
    </w:p>
    <w:p>
      <w:pPr>
        <w:pStyle w:val="BodyText"/>
      </w:pPr>
      <w:r>
        <w:t xml:space="preserve">This project represents a paradigm shift. It recognizes that the role of a modern</w:t>
      </w:r>
      <w:r>
        <w:t xml:space="preserve"> </w:t>
      </w:r>
      <w:r>
        <w:rPr>
          <w:u w:val="single"/>
          <w:bCs/>
          <w:b/>
        </w:rPr>
        <w:t xml:space="preserve">Pharmacist</w:t>
      </w:r>
      <w:r>
        <w:t xml:space="preserve"> </w:t>
      </w:r>
      <w:r>
        <w:t xml:space="preserve">extends far beyond the counter. In the context of</w:t>
      </w:r>
      <w:r>
        <w:t xml:space="preserve"> </w:t>
      </w:r>
      <w:r>
        <w:rPr>
          <w:iCs/>
          <w:i/>
        </w:rPr>
        <w:t xml:space="preserve">Indonesia Jakarta</w:t>
      </w:r>
      <w:r>
        <w:t xml:space="preserve">, where traffic congestion can make frequent hospital visits difficult for elderly or mobility-impaired patients, community-based pharmaceutical care is vital. The report details how integrating clinical pharmacist services into local communities can significantly improve drug safety and patient education.</w:t>
      </w:r>
    </w:p>
    <w:bookmarkEnd w:id="21"/>
    <w:bookmarkStart w:id="22" w:name="objectives-of-the-project"/>
    <w:p>
      <w:pPr>
        <w:pStyle w:val="Heading2"/>
      </w:pPr>
      <w:r>
        <w:rPr>
          <w:bCs/>
          <w:b/>
        </w:rPr>
        <w:t xml:space="preserve">3. Objectives of the Project</w:t>
      </w:r>
    </w:p>
    <w:p>
      <w:pPr>
        <w:pStyle w:val="FirstParagraph"/>
      </w:pPr>
      <w:r>
        <w:br/>
      </w:r>
    </w:p>
    <w:p>
      <w:pPr>
        <w:pStyle w:val="BodyText"/>
      </w:pPr>
      <w:r>
        <w:t xml:space="preserve">The primary objectives of this initiative in</w:t>
      </w:r>
      <w:r>
        <w:t xml:space="preserve"> </w:t>
      </w:r>
      <w:r>
        <w:rPr>
          <w:bCs/>
          <w:b/>
        </w:rPr>
        <w:t xml:space="preserve">Indonesia Jakarta</w:t>
      </w:r>
      <w:r>
        <w:t xml:space="preserve"> </w:t>
      </w:r>
      <w:r>
        <w:t xml:space="preserve">are as follows:</w:t>
      </w:r>
    </w:p>
    <w:p>
      <w:pPr>
        <w:numPr>
          <w:ilvl w:val="0"/>
          <w:numId w:val="1001"/>
        </w:numPr>
        <w:pStyle w:val="Compact"/>
      </w:pPr>
      <w:r>
        <w:t xml:space="preserve">To establish a standardized framework for clinical pharmacy practice tailored to the specific needs of the Indonesian population.</w:t>
      </w:r>
    </w:p>
    <w:p>
      <w:pPr>
        <w:numPr>
          <w:ilvl w:val="0"/>
          <w:numId w:val="1001"/>
        </w:numPr>
        <w:pStyle w:val="Compact"/>
      </w:pPr>
      <w:r>
        <w:t xml:space="preserve">To deploy certified</w:t>
      </w:r>
      <w:r>
        <w:t xml:space="preserve"> </w:t>
      </w:r>
      <w:r>
        <w:rPr>
          <w:u w:val="single"/>
          <w:bCs/>
          <w:b/>
        </w:rPr>
        <w:t xml:space="preserve">Pharmacist</w:t>
      </w:r>
      <w:r>
        <w:t xml:space="preserve"> </w:t>
      </w:r>
      <w:r>
        <w:t xml:space="preserve">teams capable of conducting comprehensive medication reviews and adherence counseling.</w:t>
      </w:r>
    </w:p>
    <w:p>
      <w:pPr>
        <w:numPr>
          <w:ilvl w:val="0"/>
          <w:numId w:val="1001"/>
        </w:numPr>
        <w:pStyle w:val="Compact"/>
      </w:pPr>
      <w:r>
        <w:t xml:space="preserve">To reduce medication errors and adverse drug reactions through proactive monitoring systems implemented in key districts of Jakarta.</w:t>
      </w:r>
    </w:p>
    <w:p>
      <w:pPr>
        <w:numPr>
          <w:ilvl w:val="0"/>
          <w:numId w:val="1001"/>
        </w:numPr>
        <w:pStyle w:val="Compact"/>
      </w:pPr>
      <w:r>
        <w:t xml:space="preserve">To educate the public on the proper usage of antibiotics and other controlled substances, addressing rising concerns about antibiotic resistance in Southeast Asia.</w:t>
      </w:r>
    </w:p>
    <w:bookmarkEnd w:id="22"/>
    <w:bookmarkStart w:id="25" w:name="X14b2d4aabdd3c90013ddecb6db3665c9a9aadf4"/>
    <w:p>
      <w:pPr>
        <w:pStyle w:val="Heading2"/>
      </w:pPr>
      <w:r>
        <w:rPr>
          <w:bCs/>
          <w:b/>
        </w:rPr>
        <w:t xml:space="preserve">4. Market Analysis: The Context of Indonesia Jakarta</w:t>
      </w:r>
    </w:p>
    <w:p>
      <w:pPr>
        <w:pStyle w:val="FirstParagraph"/>
      </w:pPr>
      <w:r>
        <w:br/>
      </w:r>
    </w:p>
    <w:p>
      <w:pPr>
        <w:pStyle w:val="BodyText"/>
      </w:pPr>
      <w:r>
        <w:t xml:space="preserve">Jakarta serves as both the political and economic heart of</w:t>
      </w:r>
      <w:r>
        <w:t xml:space="preserve"> </w:t>
      </w:r>
      <w:r>
        <w:rPr>
          <w:iCs/>
          <w:i/>
        </w:rPr>
        <w:t xml:space="preserve">Indonesia Jakarta</w:t>
      </w:r>
      <w:r>
        <w:t xml:space="preserve">. Its demographic profile includes a mix of urban professionals, low-income residents, and a significant aging population. Understanding this diversity is crucial for the successful rollout of pharmaceutical services.</w:t>
      </w:r>
    </w:p>
    <w:bookmarkStart w:id="23" w:name="demographic-challenges"/>
    <w:p>
      <w:pPr>
        <w:pStyle w:val="Heading3"/>
      </w:pPr>
      <w:r>
        <w:t xml:space="preserve">4.1 Demographic Challenges</w:t>
      </w:r>
    </w:p>
    <w:p>
      <w:pPr>
        <w:pStyle w:val="FirstParagraph"/>
      </w:pPr>
      <w:r>
        <w:br/>
      </w:r>
    </w:p>
    <w:p>
      <w:pPr>
        <w:pStyle w:val="BodyText"/>
      </w:pPr>
      <w:r>
        <w:t xml:space="preserve">The rapid urbanization in</w:t>
      </w:r>
      <w:r>
        <w:t xml:space="preserve"> </w:t>
      </w:r>
      <w:r>
        <w:rPr>
          <w:iCs/>
          <w:i/>
        </w:rPr>
        <w:t xml:space="preserve">Indonesia Jakarta</w:t>
      </w:r>
      <w:r>
        <w:t xml:space="preserve"> </w:t>
      </w:r>
      <w:r>
        <w:t xml:space="preserve">has led to overcrowding in existing healthcare facilities. Patients often wait hours just to consult a doctor, leaving little time for pharmacists or doctors to explain dosage instructions clearly. This project aims to alleviate this burden by decentralizing pharmaceutical care.</w:t>
      </w:r>
    </w:p>
    <w:bookmarkEnd w:id="23"/>
    <w:bookmarkStart w:id="24" w:name="economic-factors"/>
    <w:p>
      <w:pPr>
        <w:pStyle w:val="Heading3"/>
      </w:pPr>
      <w:r>
        <w:t xml:space="preserve">4.2 Economic Factors</w:t>
      </w:r>
    </w:p>
    <w:p>
      <w:pPr>
        <w:pStyle w:val="FirstParagraph"/>
      </w:pPr>
      <w:r>
        <w:br/>
      </w:r>
    </w:p>
    <w:p>
      <w:pPr>
        <w:pStyle w:val="BodyText"/>
      </w:pPr>
      <w:r>
        <w:t xml:space="preserve">With the implementation of the National Health Insurance (JKN) under BPJS Kesehatan, millions more citizens in</w:t>
      </w:r>
      <w:r>
        <w:t xml:space="preserve"> </w:t>
      </w:r>
      <w:r>
        <w:rPr>
          <w:iCs/>
          <w:i/>
        </w:rPr>
        <w:t xml:space="preserve">Indonesia Jakarta</w:t>
      </w:r>
      <w:r>
        <w:t xml:space="preserve"> </w:t>
      </w:r>
      <w:r>
        <w:t xml:space="preserve">now have access to basic healthcare. However, this influx has strained resources. Private-sector partnerships involving specialized</w:t>
      </w:r>
      <w:r>
        <w:t xml:space="preserve"> </w:t>
      </w:r>
      <w:r>
        <w:rPr>
          <w:u w:val="single"/>
          <w:bCs/>
          <w:b/>
        </w:rPr>
        <w:t xml:space="preserve">Pharmacist</w:t>
      </w:r>
      <w:r>
        <w:t xml:space="preserve"> </w:t>
      </w:r>
      <w:r>
        <w:t xml:space="preserve">services can provide supplemental care that government facilities cannot currently afford to provide at scale.</w:t>
      </w:r>
    </w:p>
    <w:bookmarkEnd w:id="24"/>
    <w:bookmarkEnd w:id="25"/>
    <w:bookmarkStart w:id="28" w:name="regulatory-framework-and-compliance"/>
    <w:p>
      <w:pPr>
        <w:pStyle w:val="Heading2"/>
      </w:pPr>
      <w:r>
        <w:rPr>
          <w:bCs/>
          <w:b/>
        </w:rPr>
        <w:t xml:space="preserve">5. Regulatory Framework and Compliance</w:t>
      </w:r>
    </w:p>
    <w:p>
      <w:pPr>
        <w:pStyle w:val="FirstParagraph"/>
      </w:pPr>
      <w:r>
        <w:br/>
      </w:r>
    </w:p>
    <w:p>
      <w:pPr>
        <w:pStyle w:val="BodyText"/>
      </w:pPr>
      <w:r>
        <w:t xml:space="preserve">Navigating the legal landscape is a critical component of this project in</w:t>
      </w:r>
      <w:r>
        <w:t xml:space="preserve"> </w:t>
      </w:r>
      <w:r>
        <w:rPr>
          <w:bCs/>
          <w:b/>
        </w:rPr>
        <w:t xml:space="preserve">Indonesia Jakarta</w:t>
      </w:r>
      <w:r>
        <w:t xml:space="preserve">. The pharmaceutical industry in Indonesia is regulated by the Ministry of Health (Kementerian Kesehatan) and monitored closely by BPOM (Badan Pengawas Obat dan Makanan).</w:t>
      </w:r>
    </w:p>
    <w:bookmarkStart w:id="26" w:name="licensure-requirements"/>
    <w:p>
      <w:pPr>
        <w:pStyle w:val="Heading3"/>
      </w:pPr>
      <w:r>
        <w:t xml:space="preserve">5.1 Licensure Requirements</w:t>
      </w:r>
    </w:p>
    <w:p>
      <w:pPr>
        <w:pStyle w:val="FirstParagraph"/>
      </w:pPr>
      <w:r>
        <w:br/>
      </w:r>
    </w:p>
    <w:p>
      <w:pPr>
        <w:pStyle w:val="BodyText"/>
      </w:pPr>
      <w:r>
        <w:t xml:space="preserve">All participating pharmacists must hold valid licensure from the Indonesian Pharmacists Association (</w:t>
      </w:r>
      <w:r>
        <w:rPr>
          <w:iCs/>
          <w:i/>
        </w:rPr>
        <w:t xml:space="preserve">Himpunan Apoteker Indonesia</w:t>
      </w:r>
      <w:r>
        <w:t xml:space="preserve">). Furthermore, any clinic established in</w:t>
      </w:r>
      <w:r>
        <w:t xml:space="preserve"> </w:t>
      </w:r>
      <w:r>
        <w:rPr>
          <w:iCs/>
          <w:i/>
        </w:rPr>
        <w:t xml:space="preserve">Indonesia Jakarta</w:t>
      </w:r>
      <w:r>
        <w:t xml:space="preserve"> </w:t>
      </w:r>
      <w:r>
        <w:t xml:space="preserve">must obtain specific permits for clinical pharmacy practice, distinct from standard retail pharmacy licenses.</w:t>
      </w:r>
    </w:p>
    <w:bookmarkEnd w:id="26"/>
    <w:bookmarkStart w:id="27" w:name="data-privacy-and-ethics"/>
    <w:p>
      <w:pPr>
        <w:pStyle w:val="Heading3"/>
      </w:pPr>
      <w:r>
        <w:t xml:space="preserve">5.2 Data Privacy and Ethics</w:t>
      </w:r>
    </w:p>
    <w:p>
      <w:pPr>
        <w:pStyle w:val="FirstParagraph"/>
      </w:pPr>
      <w:r>
        <w:br/>
      </w:r>
    </w:p>
    <w:p>
      <w:pPr>
        <w:pStyle w:val="BodyText"/>
      </w:pPr>
      <w:r>
        <w:t xml:space="preserve">In alignment with recent Indonesian data protection regulations, patient health information handled by the</w:t>
      </w:r>
      <w:r>
        <w:t xml:space="preserve"> </w:t>
      </w:r>
      <w:r>
        <w:rPr>
          <w:u w:val="single"/>
          <w:bCs/>
          <w:b/>
        </w:rPr>
        <w:t xml:space="preserve">Pharmacist</w:t>
      </w:r>
      <w:r>
        <w:t xml:space="preserve"> </w:t>
      </w:r>
      <w:r>
        <w:t xml:space="preserve">team will be secured using encrypted digital platforms. This ensures compliance with both local laws and international ethical standards.</w:t>
      </w:r>
    </w:p>
    <w:bookmarkEnd w:id="27"/>
    <w:bookmarkEnd w:id="28"/>
    <w:bookmarkStart w:id="30" w:name="operational-strategy"/>
    <w:p>
      <w:pPr>
        <w:pStyle w:val="Heading2"/>
      </w:pPr>
      <w:r>
        <w:rPr>
          <w:bCs/>
          <w:b/>
        </w:rPr>
        <w:t xml:space="preserve">6. Operational Strategy</w:t>
      </w:r>
    </w:p>
    <w:p>
      <w:pPr>
        <w:pStyle w:val="FirstParagraph"/>
      </w:pPr>
      <w:r>
        <w:br/>
      </w:r>
    </w:p>
    <w:p>
      <w:pPr>
        <w:pStyle w:val="BodyText"/>
      </w:pPr>
      <w:r>
        <w:t xml:space="preserve">The operational model relies on a hybrid approach, combining physical clinics in high-traffic areas of</w:t>
      </w:r>
      <w:r>
        <w:t xml:space="preserve"> </w:t>
      </w:r>
      <w:r>
        <w:rPr>
          <w:iCs/>
          <w:i/>
        </w:rPr>
        <w:t xml:space="preserve">Indonesia Jakarta</w:t>
      </w:r>
      <w:r>
        <w:t xml:space="preserve"> </w:t>
      </w:r>
      <w:r>
        <w:t xml:space="preserve">with tele-pharmacy services for remote consultation.</w:t>
      </w:r>
    </w:p>
    <w:bookmarkStart w:id="29" w:name="service-delivery-model"/>
    <w:p>
      <w:pPr>
        <w:pStyle w:val="Heading3"/>
      </w:pPr>
      <w:r>
        <w:t xml:space="preserve">6.1 Service Delivery Model</w:t>
      </w:r>
    </w:p>
    <w:p>
      <w:pPr>
        <w:pStyle w:val="FirstParagraph"/>
      </w:pPr>
      <w:r>
        <w:br/>
      </w:r>
    </w:p>
    <w:p>
      <w:pPr>
        <w:pStyle w:val="BodyText"/>
      </w:pPr>
      <w:r>
        <w:rPr>
          <w:bCs/>
          <w:b/>
        </w:rPr>
        <w:t xml:space="preserve">Service Component</w:t>
      </w:r>
    </w:p>
    <w:p>
      <w:pPr>
        <w:pStyle w:val="BodyText"/>
      </w:pPr>
      <w:r>
        <w:t xml:space="preserve">Description in Jakarta Context</w:t>
      </w:r>
    </w:p>
    <w:p>
      <w:pPr>
        <w:pStyle w:val="BodyText"/>
      </w:pPr>
      <w:r>
        <w:t xml:space="preserve">Medication Therapy Management (MTM)</w:t>
      </w:r>
    </w:p>
    <w:p>
      <w:pPr>
        <w:pStyle w:val="BodyText"/>
      </w:pPr>
      <w:r>
        <w:t xml:space="preserve">In-depth review of patient prescriptions to optimize therapeutic outcomes, crucial for chronic disease management in dense urban areas.</w:t>
      </w:r>
    </w:p>
    <w:p>
      <w:pPr>
        <w:pStyle w:val="BodyText"/>
      </w:pPr>
      <w:r>
        <w:t xml:space="preserve">&lt; td style = " " &gt; Chronic Disease Support &lt; / tr &gt;&lt; tr class = "th" &gt;</w:t>
      </w:r>
    </w:p>
    <w:p>
      <w:pPr>
        <w:pStyle w:val="BodyText"/>
      </w:pPr>
      <w:r>
        <w:t xml:space="preserve">Regular monitoring of blood pressure and glucose levels by the Pharmacist, reducing hospital readmissions.</w:t>
      </w:r>
    </w:p>
    <w:p>
      <w:pPr>
        <w:pStyle w:val="BodyText"/>
      </w:pPr>
      <w:r>
        <w:rPr>
          <w:bCs/>
          <w:b/>
        </w:rPr>
        <w:t xml:space="preserve">Vaccination Services</w:t>
      </w:r>
    </w:p>
    <w:p>
      <w:pPr>
        <w:pStyle w:val="BodyText"/>
      </w:pPr>
      <w:r>
        <w:t xml:space="preserve">Leveraging the Pharmacist's role in administering vaccines, particularly important for seasonal flu and emerging health threats.</w:t>
      </w:r>
    </w:p>
    <w:bookmarkEnd w:id="29"/>
    <w:bookmarkEnd w:id="30"/>
    <w:bookmarkStart w:id="33" w:name="financial-implications"/>
    <w:p>
      <w:pPr>
        <w:pStyle w:val="Heading2"/>
      </w:pPr>
      <w:r>
        <w:rPr>
          <w:bCs/>
          <w:b/>
        </w:rPr>
        <w:t xml:space="preserve">7. Financial Implications</w:t>
      </w:r>
    </w:p>
    <w:p>
      <w:pPr>
        <w:pStyle w:val="FirstParagraph"/>
      </w:pPr>
      <w:r>
        <w:br/>
      </w:r>
    </w:p>
    <w:p>
      <w:pPr>
        <w:pStyle w:val="BodyText"/>
      </w:pPr>
      <w:r>
        <w:t xml:space="preserve">The financial viability of this project is supported by multiple revenue streams. These include direct payments from patients seeking premium pharmaceutical care, contracts with private hospitals in</w:t>
      </w:r>
      <w:r>
        <w:t xml:space="preserve"> </w:t>
      </w:r>
      <w:r>
        <w:rPr>
          <w:iCs/>
          <w:i/>
        </w:rPr>
        <w:t xml:space="preserve">Indonesia Jakarta</w:t>
      </w:r>
      <w:r>
        <w:t xml:space="preserve">, and potential subsidies from international health organizations focused on public health improvement.</w:t>
      </w:r>
    </w:p>
    <w:bookmarkStart w:id="31" w:name="initial-investment-costs"/>
    <w:p>
      <w:pPr>
        <w:pStyle w:val="Heading3"/>
      </w:pPr>
      <w:r>
        <w:t xml:space="preserve">7.1 Initial Investment Costs</w:t>
      </w:r>
    </w:p>
    <w:p>
      <w:pPr>
        <w:pStyle w:val="FirstParagraph"/>
      </w:pPr>
      <w:r>
        <w:br/>
      </w:r>
    </w:p>
    <w:p>
      <w:pPr>
        <w:pStyle w:val="BodyText"/>
      </w:pPr>
      <w:r>
        <w:t xml:space="preserve">The initial capital required includes leasing space in strategic locations across Jakarta, purchasing advanced pharmacy management software, and recruiting high-caliber</w:t>
      </w:r>
      <w:r>
        <w:t xml:space="preserve"> </w:t>
      </w:r>
      <w:r>
        <w:rPr>
          <w:u w:val="single"/>
          <w:bCs/>
          <w:b/>
        </w:rPr>
        <w:t xml:space="preserve">Pharmacist</w:t>
      </w:r>
      <w:r>
        <w:t xml:space="preserve"> </w:t>
      </w:r>
      <w:r>
        <w:t xml:space="preserve">staff. Training costs are also significant, as pharmacists must undergo specialized certification in clinical care.</w:t>
      </w:r>
    </w:p>
    <w:bookmarkEnd w:id="31"/>
    <w:bookmarkStart w:id="32" w:name="projected-roi"/>
    <w:p>
      <w:pPr>
        <w:pStyle w:val="Heading3"/>
      </w:pPr>
      <w:r>
        <w:t xml:space="preserve">7.2 Projected ROI</w:t>
      </w:r>
    </w:p>
    <w:p>
      <w:pPr>
        <w:pStyle w:val="FirstParagraph"/>
      </w:pPr>
      <w:r>
        <w:br/>
      </w:r>
    </w:p>
    <w:p>
      <w:pPr>
        <w:pStyle w:val="BodyText"/>
      </w:pPr>
      <w:r>
        <w:t xml:space="preserve">Based on market research in similar Southeast Asian markets, the break-even point is estimated at 18 months post-launch. The growing awareness of health prevention among Jakarta's residents suggests a steady increase in demand for these specialized services over the next five years.</w:t>
      </w:r>
    </w:p>
    <w:bookmarkEnd w:id="32"/>
    <w:bookmarkEnd w:id="33"/>
    <w:bookmarkStart w:id="34" w:name="challenges-and-mitigation-strategies"/>
    <w:p>
      <w:pPr>
        <w:pStyle w:val="Heading2"/>
      </w:pPr>
      <w:r>
        <w:rPr>
          <w:bCs/>
          <w:b/>
        </w:rPr>
        <w:t xml:space="preserve">8. Challenges and Mitigation Strategies</w:t>
      </w:r>
    </w:p>
    <w:p>
      <w:pPr>
        <w:pStyle w:val="FirstParagraph"/>
      </w:pPr>
      <w:r>
        <w:br/>
      </w:r>
    </w:p>
    <w:p>
      <w:pPr>
        <w:pStyle w:val="BodyText"/>
      </w:pPr>
      <w:r>
        <w:rPr>
          <w:iCs/>
          <w:i/>
        </w:rPr>
        <w:t xml:space="preserve">Indonesia Jakarta</w:t>
      </w:r>
      <w:r>
        <w:t xml:space="preserve"> </w:t>
      </w:r>
      <w:r>
        <w:t xml:space="preserve">presents specific logistical challenges. Traffic congestion can delay emergency supply deliveries, requiring robust inventory management systems. Additionally, there is a need to overcome cultural barriers where patients may prefer self-medication over professional consultation.</w:t>
      </w:r>
    </w:p>
    <w:p>
      <w:pPr>
        <w:pStyle w:val="BodyText"/>
      </w:pPr>
      <w:r>
        <w:t xml:space="preserve">To mitigate these issues:</w:t>
      </w:r>
    </w:p>
    <w:p>
      <w:pPr>
        <w:numPr>
          <w:ilvl w:val="0"/>
          <w:numId w:val="1002"/>
        </w:numPr>
        <w:pStyle w:val="Compact"/>
      </w:pPr>
      <w:r>
        <w:rPr>
          <w:bCs/>
          <w:b/>
        </w:rPr>
        <w:t xml:space="preserve">Technology Integration:</w:t>
      </w:r>
      <w:r>
        <w:t xml:space="preserve"> </w:t>
      </w:r>
      <w:r>
        <w:t xml:space="preserve">Implementing AI-driven inventory systems to predict demand and automate restocking in Jakarta warehouses.</w:t>
      </w:r>
    </w:p>
    <w:p>
      <w:pPr>
        <w:numPr>
          <w:ilvl w:val="0"/>
          <w:numId w:val="1002"/>
        </w:numPr>
        <w:pStyle w:val="Compact"/>
      </w:pPr>
      <w:r>
        <w:rPr>
          <w:bCs/>
          <w:b/>
        </w:rPr>
        <w:t xml:space="preserve">Educational Campaigns:</w:t>
      </w:r>
      <w:r>
        <w:t xml:space="preserve"> </w:t>
      </w:r>
      <w:r>
        <w:t xml:space="preserve">Launching public awareness campaigns featuring trusted local figures to promote the value of consulting a professional</w:t>
      </w:r>
      <w:r>
        <w:t xml:space="preserve"> </w:t>
      </w:r>
      <w:r>
        <w:rPr>
          <w:u w:val="single"/>
          <w:bCs/>
          <w:b/>
        </w:rPr>
        <w:t xml:space="preserve">Pharmacist</w:t>
      </w:r>
      <w:r>
        <w:t xml:space="preserve">.</w:t>
      </w:r>
    </w:p>
    <w:bookmarkEnd w:id="34"/>
    <w:bookmarkStart w:id="35" w:name="conclusion-and-recommendations"/>
    <w:p>
      <w:pPr>
        <w:pStyle w:val="Heading2"/>
      </w:pPr>
      <w:r>
        <w:rPr>
          <w:bCs/>
          <w:b/>
        </w:rPr>
        <w:t xml:space="preserve">9. Conclusion and Recommendations</w:t>
      </w:r>
    </w:p>
    <w:p>
      <w:pPr>
        <w:pStyle w:val="FirstParagraph"/>
      </w:pPr>
      <w:r>
        <w:br/>
      </w:r>
    </w:p>
    <w:p>
      <w:pPr>
        <w:pStyle w:val="BodyText"/>
      </w:pPr>
      <w:r>
        <w:t xml:space="preserve">In conclusion, the proposed project addresses a critical need in</w:t>
      </w:r>
      <w:r>
        <w:t xml:space="preserve"> </w:t>
      </w:r>
      <w:r>
        <w:rPr>
          <w:bCs/>
          <w:b/>
        </w:rPr>
        <w:t xml:space="preserve">Indonesia Jakarta</w:t>
      </w:r>
      <w:r>
        <w:t xml:space="preserve">. By elevating the role of the</w:t>
      </w:r>
      <w:r>
        <w:t xml:space="preserve"> </w:t>
      </w:r>
      <w:r>
        <w:rPr>
          <w:iCs/>
          <w:i/>
        </w:rPr>
        <w:t xml:space="preserve">Pharmacist</w:t>
      </w:r>
      <w:r>
        <w:t xml:space="preserve"> </w:t>
      </w:r>
      <w:r>
        <w:t xml:space="preserve">from a dispenser to a healthcare provider, this initiative promises to improve patient safety and health outcomes significantly. The unique challenges of operating in</w:t>
      </w:r>
      <w:r>
        <w:t xml:space="preserve"> </w:t>
      </w:r>
      <w:r>
        <w:rPr>
          <w:iCs/>
          <w:i/>
        </w:rPr>
        <w:t xml:space="preserve">Indonesia Jakarta</w:t>
      </w:r>
      <w:r>
        <w:t xml:space="preserve"> </w:t>
      </w:r>
      <w:r>
        <w:t xml:space="preserve">require careful planning, but the potential impact on public health is substantial.</w:t>
      </w:r>
    </w:p>
    <w:p>
      <w:pPr>
        <w:pStyle w:val="BodyText"/>
      </w:pPr>
      <w:r>
        <w:t xml:space="preserve">We recommend proceeding with the pilot phase in two major districts of Jakarta (Central and South Jakarta) to test operational efficiencies before expanding city-wide. This phased approach allows for real-time feedback adjustment and ensures that every</w:t>
      </w:r>
      <w:r>
        <w:t xml:space="preserve"> </w:t>
      </w:r>
      <w:r>
        <w:rPr>
          <w:u w:val="single"/>
          <w:bCs/>
          <w:b/>
        </w:rPr>
        <w:t xml:space="preserve">Pharmacist</w:t>
      </w:r>
      <w:r>
        <w:t xml:space="preserve"> </w:t>
      </w:r>
      <w:r>
        <w:t xml:space="preserve">deployed meets the high standards expected by the community.</w:t>
      </w:r>
    </w:p>
    <w:p>
      <w:pPr>
        <w:pStyle w:val="BodyText"/>
      </w:pPr>
      <w:r>
        <w:t xml:space="preserve">This project stands as a testament to the commitment of modernizing healthcare in</w:t>
      </w:r>
      <w:r>
        <w:t xml:space="preserve"> </w:t>
      </w:r>
      <w:r>
        <w:rPr>
          <w:iCs/>
          <w:i/>
        </w:rPr>
        <w:t xml:space="preserve">Indonesia Jakarta</w:t>
      </w:r>
      <w:r>
        <w:t xml:space="preserve">, ensuring that quality pharmaceutical care is accessible to all citizens regardless of their background or location within this vibrant Indonesian capital.</w:t>
      </w:r>
    </w:p>
    <w:p>
      <w:pPr>
        <w:pStyle w:val="BodyText"/>
      </w:pPr>
      <w:r>
        <w:br/>
      </w:r>
      <w:r>
        <w:rPr>
          <w:u w:val="single"/>
          <w:bCs/>
          <w:b/>
        </w:rPr>
        <w:t xml:space="preserve">Prepared by:</w:t>
      </w:r>
      <w:r>
        <w:rPr>
          <w:bCs/>
          <w:b/>
        </w:rPr>
        <w:t xml:space="preserve"> </w:t>
      </w:r>
      <w:r>
        <w:rPr>
          <w:bCs/>
          <w:b/>
        </w:rPr>
        <w:t xml:space="preserve">Strategic Healthcare Planning Committee</w:t>
      </w:r>
      <w:r>
        <w:br/>
      </w:r>
      <w:r>
        <w:rPr>
          <w:iCs/>
          <w:i/>
          <w:bCs/>
          <w:b/>
          <w:bCs/>
          <w:b/>
        </w:rPr>
        <w:t xml:space="preserve">Date:</w:t>
      </w:r>
      <w:r>
        <w:rPr>
          <w:bCs/>
          <w:b/>
        </w:rPr>
        <w:t xml:space="preserve"> </w:t>
      </w:r>
      <w:r>
        <w:rPr>
          <w:bCs/>
          <w:b/>
        </w:rPr>
        <w:t xml:space="preserve">October 26, 2023</w:t>
      </w:r>
      <w:r>
        <w:br/>
      </w:r>
    </w:p>
    <w:p>
      <w:pPr>
        <w:pStyle w:val="BodyText"/>
      </w:pPr>
      <w:r>
        <w:t xml:space="preserve">All rights reserved. This report is confidential and intended for internal use regarding the Indonesia Jakarta Pharmacist Project.</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Indonesia Jakarta</dc:title>
  <dc:creator/>
  <dc:language>en</dc:language>
  <cp:keywords/>
  <dcterms:created xsi:type="dcterms:W3CDTF">2026-07-29T18:00:15Z</dcterms:created>
  <dcterms:modified xsi:type="dcterms:W3CDTF">2026-07-29T18:00:15Z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