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2" w:name="Xb27a78b89f8efb84d279a9bd27957c9c75c2e30"/>
    <w:p>
      <w:pPr>
        <w:pStyle w:val="Heading1"/>
      </w:pPr>
      <w:r>
        <w:t xml:space="preserve">Project Report: Enhancing Pharmaceutical Care Standards for the Pharmacist Role in Kenya, Nairobi</w:t>
      </w:r>
    </w:p>
    <w:p>
      <w:pPr>
        <w:pStyle w:val="FirstParagraph"/>
      </w:pPr>
      <w:r>
        <w:t xml:space="preserve">Date:</w:t>
      </w:r>
    </w:p>
    <w:p>
      <w:pPr>
        <w:pStyle w:val="BodyText"/>
      </w:pPr>
      <w:r>
        <w:t xml:space="preserve">This document outlines a comprehensive analysis and strategic framework for optimizing the role of the</w:t>
      </w:r>
      <w:r>
        <w:t xml:space="preserve"> </w:t>
      </w:r>
      <w:r>
        <w:t xml:space="preserve">Pharmacist</w:t>
      </w:r>
      <w:r>
        <w:t xml:space="preserve"> </w:t>
      </w:r>
      <w:r>
        <w:t xml:space="preserve">within the bustling urban landscape of</w:t>
      </w:r>
      <w:r>
        <w:t xml:space="preserve"> </w:t>
      </w:r>
      <w:r>
        <w:t xml:space="preserve">Kenya Nairobi</w:t>
      </w:r>
      <w:r>
        <w:t xml:space="preserve">. As one of Africa’s leading economic hubs, Nairobi presents unique challenges and opportunities regarding healthcare delivery. This report aims to bridge the gap between traditional dispensing roles and modern clinical pharmacy practice, ensuring that every citizen in</w:t>
      </w:r>
      <w:r>
        <w:t xml:space="preserve"> </w:t>
      </w:r>
      <w:r>
        <w:rPr>
          <w:bCs/>
          <w:b/>
        </w:rPr>
        <w:t xml:space="preserve">Kenya Nairobi</w:t>
      </w:r>
      <w:r>
        <w:t xml:space="preserve"> </w:t>
      </w:r>
      <w:r>
        <w:t xml:space="preserve">has access to safe, effective, and affordable medication management.</w:t>
      </w:r>
    </w:p>
    <w:bookmarkStart w:id="20" w:name="executive-summary"/>
    <w:p>
      <w:pPr>
        <w:pStyle w:val="Heading2"/>
      </w:pPr>
      <w:r>
        <w:t xml:space="preserve">1. Executive Summary</w:t>
      </w:r>
    </w:p>
    <w:p>
      <w:pPr>
        <w:pStyle w:val="FirstParagraph"/>
      </w:pPr>
      <w:r>
        <w:t xml:space="preserve">The primary objective of this project is to redefine the scope of practice for the</w:t>
      </w:r>
      <w:r>
        <w:t xml:space="preserve"> </w:t>
      </w:r>
      <w:r>
        <w:t xml:space="preserve">Pharmacist</w:t>
      </w:r>
      <w:r>
        <w:t xml:space="preserve"> </w:t>
      </w:r>
      <w:r>
        <w:t xml:space="preserve">in</w:t>
      </w:r>
      <w:r>
        <w:t xml:space="preserve"> </w:t>
      </w:r>
      <w:r>
        <w:t xml:space="preserve">Kenya Nairobi</w:t>
      </w:r>
      <w:r>
        <w:t xml:space="preserve">. Currently, while pharmacists are highly respected and accessible, their potential as frontline healthcare providers is underutilized. The report identifies critical bottlenecks in supply chain logistics, patient education gaps, and regulatory frameworks. By implementing targeted interventions, we aim to improve health outcomes for the residents of</w:t>
      </w:r>
      <w:r>
        <w:t xml:space="preserve"> </w:t>
      </w:r>
      <w:r>
        <w:rPr>
          <w:bCs/>
          <w:b/>
        </w:rPr>
        <w:t xml:space="preserve">Kenya Nairobi</w:t>
      </w:r>
      <w:r>
        <w:t xml:space="preserve">, reduce medication errors, and enhance the overall efficiency of the local pharmaceutical sector.</w:t>
      </w:r>
    </w:p>
    <w:bookmarkEnd w:id="20"/>
    <w:bookmarkStart w:id="21" w:name="background-and-context"/>
    <w:p>
      <w:pPr>
        <w:pStyle w:val="Heading2"/>
      </w:pPr>
      <w:r>
        <w:t xml:space="preserve">2. Background and Context</w:t>
      </w:r>
    </w:p>
    <w:p>
      <w:pPr>
        <w:pStyle w:val="FirstParagraph"/>
      </w:pPr>
      <w:r>
        <w:rPr>
          <w:bCs/>
          <w:b/>
        </w:rPr>
        <w:t xml:space="preserve">The Landscape in Kenya Nairobi:</w:t>
      </w:r>
    </w:p>
    <w:p>
      <w:pPr>
        <w:numPr>
          <w:ilvl w:val="0"/>
          <w:numId w:val="1001"/>
        </w:numPr>
        <w:pStyle w:val="Compact"/>
      </w:pPr>
      <w:r>
        <w:t xml:space="preserve">Nairobi is home to over 4 million residents, with a dense concentration of both public hospitals and private pharmacies.</w:t>
      </w:r>
    </w:p>
    <w:p>
      <w:pPr>
        <w:numPr>
          <w:ilvl w:val="0"/>
          <w:numId w:val="1001"/>
        </w:numPr>
        <w:pStyle w:val="Compact"/>
      </w:pPr>
      <w:r>
        <w:t xml:space="preserve">The city serves as the medical referral hub for the entire country, attracting patients from rural areas across</w:t>
      </w:r>
      <w:r>
        <w:t xml:space="preserve"> </w:t>
      </w:r>
      <w:r>
        <w:rPr>
          <w:iCs/>
          <w:i/>
        </w:rPr>
        <w:t xml:space="preserve">Kenya</w:t>
      </w:r>
      <w:r>
        <w:t xml:space="preserve">.</w:t>
      </w:r>
    </w:p>
    <w:p>
      <w:pPr>
        <w:numPr>
          <w:ilvl w:val="0"/>
          <w:numId w:val="1001"/>
        </w:numPr>
        <w:pStyle w:val="Compact"/>
      </w:pPr>
      <w:r>
        <w:t xml:space="preserve">There is a high prevalence of non-communicable diseases (NCDs) such as hypertension, diabetes, and HIV/AIDS, requiring long-term medication adherence support.</w:t>
      </w:r>
    </w:p>
    <w:p>
      <w:pPr>
        <w:pStyle w:val="FirstParagraph"/>
      </w:pPr>
      <w:r>
        <w:t xml:space="preserve">The role of the</w:t>
      </w:r>
      <w:r>
        <w:t xml:space="preserve"> </w:t>
      </w:r>
      <w:r>
        <w:t xml:space="preserve">Pharmacist</w:t>
      </w:r>
      <w:r>
        <w:t xml:space="preserve"> </w:t>
      </w:r>
      <w:r>
        <w:t xml:space="preserve">in</w:t>
      </w:r>
      <w:r>
        <w:t xml:space="preserve"> </w:t>
      </w:r>
      <w:r>
        <w:rPr>
          <w:bCs/>
          <w:b/>
        </w:rPr>
        <w:t xml:space="preserve">Kenya Nairobi</w:t>
      </w:r>
      <w:r>
        <w:t xml:space="preserve"> </w:t>
      </w:r>
      <w:r>
        <w:t xml:space="preserve">is pivotal. Unlike in many other regions where pharmacists are confined to the dispensary counter, there is a growing movement towards clinical pharmacy services within community settings and hospital wards alike.</w:t>
      </w:r>
    </w:p>
    <w:bookmarkEnd w:id="21"/>
    <w:bookmarkStart w:id="22" w:name="problem-statement"/>
    <w:p>
      <w:pPr>
        <w:pStyle w:val="Heading2"/>
      </w:pPr>
      <w:r>
        <w:t xml:space="preserve">3. Problem Statement</w:t>
      </w:r>
    </w:p>
    <w:p>
      <w:pPr>
        <w:pStyle w:val="FirstParagraph"/>
      </w:pPr>
      <w:r>
        <w:t xml:space="preserve">Despite high access points, several issues persist:</w:t>
      </w:r>
    </w:p>
    <w:p>
      <w:pPr>
        <w:numPr>
          <w:ilvl w:val="0"/>
          <w:numId w:val="1002"/>
        </w:numPr>
        <w:pStyle w:val="Compact"/>
      </w:pPr>
      <w:r>
        <w:rPr>
          <w:bCs/>
          <w:b/>
        </w:rPr>
        <w:t xml:space="preserve">Misinformation:</w:t>
      </w:r>
      <w:r>
        <w:t xml:space="preserve"> </w:t>
      </w:r>
      <w:r>
        <w:t xml:space="preserve">Patients in</w:t>
      </w:r>
      <w:r>
        <w:t xml:space="preserve"> </w:t>
      </w:r>
      <w:r>
        <w:rPr>
          <w:iCs/>
          <w:i/>
        </w:rPr>
        <w:t xml:space="preserve">Kenya Nairobi</w:t>
      </w:r>
      <w:r>
        <w:t xml:space="preserve"> </w:t>
      </w:r>
      <w:r>
        <w:t xml:space="preserve">often self-medicate without professional consultation due to cultural habits or lack of awareness about the specialized training of a qualified pharmacist.</w:t>
      </w:r>
    </w:p>
    <w:p>
      <w:pPr>
        <w:numPr>
          <w:ilvl w:val="0"/>
          <w:numId w:val="1002"/>
        </w:numPr>
        <w:pStyle w:val="Compact"/>
      </w:pPr>
      <w:r>
        <w:rPr>
          <w:bCs/>
          <w:b/>
        </w:rPr>
        <w:t xml:space="preserve">Clinical Gap:</w:t>
      </w:r>
      <w:r>
        <w:t xml:space="preserve"> </w:t>
      </w:r>
      <w:r>
        <w:t xml:space="preserve">Most pharmacies in</w:t>
      </w:r>
      <w:r>
        <w:t xml:space="preserve"> </w:t>
      </w:r>
      <w:r>
        <w:t xml:space="preserve">Kenya Nairobi</w:t>
      </w:r>
      <w:r>
        <w:t xml:space="preserve"> </w:t>
      </w:r>
      <w:r>
        <w:t xml:space="preserve">lack integrated electronic health records, preventing pharmacists from maintaining comprehensive patient histories.</w:t>
      </w:r>
    </w:p>
    <w:p>
      <w:pPr>
        <w:numPr>
          <w:ilvl w:val="0"/>
          <w:numId w:val="1002"/>
        </w:numPr>
        <w:pStyle w:val="Compact"/>
      </w:pPr>
      <w:r>
        <w:rPr>
          <w:bCs/>
          <w:b/>
        </w:rPr>
        <w:t xml:space="preserve">Drug Shortages:</w:t>
      </w:r>
      <w:r>
        <w:t xml:space="preserve"> </w:t>
      </w:r>
      <w:r>
        <w:t xml:space="preserve">Inconsistent supply chains occasionally lead to stockouts of essential medicines, forcing patients to seek unverified alternatives.</w:t>
      </w:r>
    </w:p>
    <w:p>
      <w:pPr>
        <w:pStyle w:val="FirstParagraph"/>
      </w:pPr>
      <w:r>
        <w:t xml:space="preserve">The</w:t>
      </w:r>
      <w:r>
        <w:t xml:space="preserve"> </w:t>
      </w:r>
      <w:r>
        <w:t xml:space="preserve">Pharmacist</w:t>
      </w:r>
      <w:r>
        <w:t xml:space="preserve"> </w:t>
      </w:r>
      <w:r>
        <w:t xml:space="preserve">is often the most accessible healthcare professional, yet systemic barriers prevent them from fully leveraging their expertise in disease management and prevention.</w:t>
      </w:r>
    </w:p>
    <w:bookmarkEnd w:id="22"/>
    <w:bookmarkStart w:id="23" w:name="project-objectives"/>
    <w:p>
      <w:pPr>
        <w:pStyle w:val="Heading2"/>
      </w:pPr>
      <w:r>
        <w:t xml:space="preserve">4. Project Objectives</w:t>
      </w:r>
    </w:p>
    <w:p>
      <w:pPr>
        <w:numPr>
          <w:ilvl w:val="0"/>
          <w:numId w:val="1003"/>
        </w:numPr>
        <w:pStyle w:val="Compact"/>
      </w:pPr>
      <w:r>
        <w:t xml:space="preserve">To advocate for legislative changes that expand the prescribing authority of clinical pharmacists in</w:t>
      </w:r>
      <w:r>
        <w:t xml:space="preserve"> </w:t>
      </w:r>
      <w:r>
        <w:rPr>
          <w:bCs/>
          <w:b/>
        </w:rPr>
        <w:t xml:space="preserve">Kenya Nairobi</w:t>
      </w:r>
      <w:r>
        <w:t xml:space="preserve">.</w:t>
      </w:r>
    </w:p>
    <w:p>
      <w:pPr>
        <w:numPr>
          <w:ilvl w:val="0"/>
          <w:numId w:val="1003"/>
        </w:numPr>
        <w:pStyle w:val="Compact"/>
      </w:pPr>
      <w:r>
        <w:t xml:space="preserve">To implement a digital platform connecting patients with local pharmacists for tele-pharmacy consultations.</w:t>
      </w:r>
    </w:p>
    <w:p>
      <w:pPr>
        <w:numPr>
          <w:ilvl w:val="0"/>
          <w:numId w:val="1003"/>
        </w:numPr>
        <w:pStyle w:val="Compact"/>
      </w:pPr>
      <w:r>
        <w:t xml:space="preserve">To launch an education campaign titled "Trust Your Pharmacist," emphasizing the pharmacist's role beyond simple dispensing.</w:t>
      </w:r>
    </w:p>
    <w:p>
      <w:pPr>
        <w:numPr>
          <w:ilvl w:val="0"/>
          <w:numId w:val="1003"/>
        </w:numPr>
        <w:pStyle w:val="Compact"/>
      </w:pPr>
      <w:r>
        <w:t xml:space="preserve">To strengthen supply chain transparency using blockchain technology to prevent counterfeit drugs in</w:t>
      </w:r>
      <w:r>
        <w:t xml:space="preserve"> </w:t>
      </w:r>
      <w:r>
        <w:rPr>
          <w:iCs/>
          <w:i/>
        </w:rPr>
        <w:t xml:space="preserve">Kenya</w:t>
      </w:r>
      <w:r>
        <w:t xml:space="preserve">.</w:t>
      </w:r>
    </w:p>
    <w:bookmarkEnd w:id="23"/>
    <w:bookmarkStart w:id="27" w:name="strategic-implementation-plan"/>
    <w:p>
      <w:pPr>
        <w:pStyle w:val="Heading2"/>
      </w:pPr>
      <w:r>
        <w:t xml:space="preserve">5. Strategic Implementation Plan</w:t>
      </w:r>
    </w:p>
    <w:p>
      <w:pPr>
        <w:pStyle w:val="FirstParagraph"/>
      </w:pPr>
      <w:r>
        <w:t xml:space="preserve">The project will be executed in three phases:</w:t>
      </w:r>
    </w:p>
    <w:bookmarkStart w:id="24" w:name="X6699789d01db2fc1d0dfa4e8f573e9fc9437849"/>
    <w:p>
      <w:pPr>
        <w:pStyle w:val="Heading3"/>
      </w:pPr>
      <w:r>
        <w:t xml:space="preserve">Phase 1: Stakeholder Engagement (Months 1-3)</w:t>
      </w:r>
    </w:p>
    <w:p>
      <w:pPr>
        <w:numPr>
          <w:ilvl w:val="0"/>
          <w:numId w:val="1004"/>
        </w:numPr>
        <w:pStyle w:val="Compact"/>
      </w:pPr>
      <w:r>
        <w:t xml:space="preserve">Collaborate with the Pharmacy and Poisons Board of</w:t>
      </w:r>
      <w:r>
        <w:t xml:space="preserve"> </w:t>
      </w:r>
      <w:r>
        <w:rPr>
          <w:iCs/>
          <w:i/>
        </w:rPr>
        <w:t xml:space="preserve">Kenya</w:t>
      </w:r>
      <w:r>
        <w:t xml:space="preserve">.</w:t>
      </w:r>
    </w:p>
    <w:p>
      <w:pPr>
        <w:numPr>
          <w:ilvl w:val="0"/>
          <w:numId w:val="1004"/>
        </w:numPr>
        <w:pStyle w:val="Compact"/>
      </w:pPr>
      <w:r>
        <w:t xml:space="preserve">Maintain regular meetings with pharmacy owners and professional associations in</w:t>
      </w:r>
      <w:r>
        <w:t xml:space="preserve"> </w:t>
      </w:r>
      <w:r>
        <w:t xml:space="preserve">Kenya Nairobi</w:t>
      </w:r>
      <w:r>
        <w:t xml:space="preserve">.</w:t>
      </w:r>
    </w:p>
    <w:bookmarkEnd w:id="24"/>
    <w:bookmarkStart w:id="25" w:name="Xfb9abedcc27727f09468837b319284dfddbcd1b"/>
    <w:p>
      <w:pPr>
        <w:pStyle w:val="Heading3"/>
      </w:pPr>
      <w:r>
        <w:t xml:space="preserve">Phase 2: Technology Integration (Months 4-9)</w:t>
      </w:r>
    </w:p>
    <w:p>
      <w:pPr>
        <w:numPr>
          <w:ilvl w:val="0"/>
          <w:numId w:val="1005"/>
        </w:numPr>
        <w:pStyle w:val="Compact"/>
      </w:pPr>
      <w:r>
        <w:t xml:space="preserve">Pilot a mobile app allowing residents of</w:t>
      </w:r>
      <w:r>
        <w:t xml:space="preserve"> </w:t>
      </w:r>
      <w:r>
        <w:rPr>
          <w:bCs/>
          <w:b/>
        </w:rPr>
        <w:t xml:space="preserve">Kenya Nairobi</w:t>
      </w:r>
      <w:r>
        <w:t xml:space="preserve"> </w:t>
      </w:r>
      <w:r>
        <w:t xml:space="preserve">to consult remote pharmacists.</w:t>
      </w:r>
    </w:p>
    <w:p>
      <w:pPr>
        <w:numPr>
          <w:ilvl w:val="0"/>
          <w:numId w:val="1005"/>
        </w:numPr>
        <w:pStyle w:val="Compact"/>
      </w:pPr>
      <w:r>
        <w:t xml:space="preserve">Train 500 community pharmacists in basic clinical diagnostics and chronic disease management.</w:t>
      </w:r>
    </w:p>
    <w:bookmarkEnd w:id="25"/>
    <w:bookmarkStart w:id="26" w:name="Xecfea6df75114da9ff85b8615b1b6f7d8c1bb32"/>
    <w:p>
      <w:pPr>
        <w:pStyle w:val="Heading3"/>
      </w:pPr>
      <w:r>
        <w:t xml:space="preserve">Phase 3: Evaluation and Scaling (Months 10-12)</w:t>
      </w:r>
    </w:p>
    <w:p>
      <w:pPr>
        <w:numPr>
          <w:ilvl w:val="0"/>
          <w:numId w:val="1006"/>
        </w:numPr>
        <w:pStyle w:val="Compact"/>
      </w:pPr>
      <w:r>
        <w:t xml:space="preserve">Analyze data from the pilot phase across</w:t>
      </w:r>
      <w:r>
        <w:t xml:space="preserve"> </w:t>
      </w:r>
      <w:r>
        <w:rPr>
          <w:iCs/>
          <w:i/>
        </w:rPr>
        <w:t xml:space="preserve">Kenya</w:t>
      </w:r>
      <w:r>
        <w:t xml:space="preserve">.</w:t>
      </w:r>
    </w:p>
    <w:p>
      <w:pPr>
        <w:numPr>
          <w:ilvl w:val="0"/>
          <w:numId w:val="1006"/>
        </w:numPr>
        <w:pStyle w:val="Compact"/>
      </w:pPr>
      <w:r>
        <w:t xml:space="preserve">Pitch successful models for national scaling based on the Nairobi case study.</w:t>
      </w:r>
    </w:p>
    <w:p>
      <w:pPr>
        <w:pStyle w:val="FirstParagraph"/>
      </w:pPr>
      <w:r>
        <w:t xml:space="preserve">This approach ensures that the</w:t>
      </w:r>
      <w:r>
        <w:t xml:space="preserve"> </w:t>
      </w:r>
      <w:r>
        <w:t xml:space="preserve">Pharmacist</w:t>
      </w:r>
      <w:r>
        <w:t xml:space="preserve"> </w:t>
      </w:r>
      <w:r>
        <w:t xml:space="preserve">is positioned as a key partner in achieving Universal Health Coverage (UHC) goals within</w:t>
      </w:r>
      <w:r>
        <w:t xml:space="preserve"> </w:t>
      </w:r>
      <w:r>
        <w:rPr>
          <w:bCs/>
          <w:b/>
        </w:rPr>
        <w:t xml:space="preserve">Kenya Nairobi</w:t>
      </w:r>
      <w:r>
        <w:t xml:space="preserve">.</w:t>
      </w:r>
    </w:p>
    <w:bookmarkEnd w:id="26"/>
    <w:bookmarkEnd w:id="27"/>
    <w:bookmarkStart w:id="28" w:name="challenges-and-mitigation-strategies"/>
    <w:p>
      <w:pPr>
        <w:pStyle w:val="Heading2"/>
      </w:pPr>
      <w:r>
        <w:t xml:space="preserve">6. Challenges and Mitigation Strategies</w:t>
      </w:r>
    </w:p>
    <w:p>
      <w:pPr>
        <w:numPr>
          <w:ilvl w:val="0"/>
          <w:numId w:val="1007"/>
        </w:numPr>
        <w:pStyle w:val="Compact"/>
      </w:pPr>
      <w:r>
        <w:rPr>
          <w:bCs/>
          <w:b/>
        </w:rPr>
        <w:t xml:space="preserve">Cultural Resistance:</w:t>
      </w:r>
      <w:r>
        <w:t xml:space="preserve"> </w:t>
      </w:r>
      <w:r>
        <w:t xml:space="preserve">Some patients may resist paying for pharmacist-led consultations if they perceive them as expensive compared to buying drugs directly.</w:t>
      </w:r>
      <w:r>
        <w:t xml:space="preserve"> </w:t>
      </w:r>
      <w:r>
        <w:rPr>
          <w:iCs/>
          <w:i/>
        </w:rPr>
        <w:t xml:space="preserve">Mitigation:</w:t>
      </w:r>
      <w:r>
        <w:t xml:space="preserve"> </w:t>
      </w:r>
      <w:r>
        <w:t xml:space="preserve">Insurance companies in</w:t>
      </w:r>
      <w:r>
        <w:t xml:space="preserve"> </w:t>
      </w:r>
      <w:r>
        <w:rPr>
          <w:iCs/>
          <w:i/>
        </w:rPr>
        <w:t xml:space="preserve">Kenya</w:t>
      </w:r>
      <w:r>
        <w:t xml:space="preserve"> </w:t>
      </w:r>
      <w:r>
        <w:t xml:space="preserve">should be encouraged to cover pharmacist consultation fees.</w:t>
      </w:r>
    </w:p>
    <w:p>
      <w:pPr>
        <w:numPr>
          <w:ilvl w:val="0"/>
          <w:numId w:val="1007"/>
        </w:numPr>
        <w:pStyle w:val="Compact"/>
      </w:pPr>
      <w:r>
        <w:rPr>
          <w:bCs/>
          <w:b/>
        </w:rPr>
        <w:t xml:space="preserve">Digital Literacy:</w:t>
      </w:r>
      <w:r>
        <w:t xml:space="preserve">Varying levels of tech-savviness among older populations in</w:t>
      </w:r>
      <w:r>
        <w:t xml:space="preserve"> </w:t>
      </w:r>
      <w:r>
        <w:t xml:space="preserve">Kenya Nairobi</w:t>
      </w:r>
      <w:r>
        <w:t xml:space="preserve">.</w:t>
      </w:r>
      <w:r>
        <w:t xml:space="preserve"> </w:t>
      </w:r>
      <w:r>
        <w:rPr>
          <w:iCs/>
          <w:i/>
        </w:rPr>
        <w:t xml:space="preserve">Mitigation:</w:t>
      </w:r>
      <w:r>
        <w:t xml:space="preserve"> </w:t>
      </w:r>
      <w:r>
        <w:t xml:space="preserve">Design user-friendly interfaces and offer phone-based support options.</w:t>
      </w:r>
    </w:p>
    <w:bookmarkEnd w:id="28"/>
    <w:bookmarkStart w:id="29" w:name="expected-outcomes"/>
    <w:p>
      <w:pPr>
        <w:pStyle w:val="Heading2"/>
      </w:pPr>
      <w:r>
        <w:t xml:space="preserve">7. Expected Outcomes</w:t>
      </w:r>
    </w:p>
    <w:p>
      <w:pPr>
        <w:pStyle w:val="FirstParagraph"/>
      </w:pPr>
      <w:r>
        <w:t xml:space="preserve">We anticipate the following results by the end of Year 1:</w:t>
      </w:r>
    </w:p>
    <w:p>
      <w:pPr>
        <w:numPr>
          <w:ilvl w:val="0"/>
          <w:numId w:val="1008"/>
        </w:numPr>
        <w:pStyle w:val="Compact"/>
      </w:pPr>
      <w:r>
        <w:t xml:space="preserve">A 30% reduction in medication-related hospital admissions due to improved adherence counseling by pharmacists.</w:t>
      </w:r>
    </w:p>
    <w:p>
      <w:pPr>
        <w:numPr>
          <w:ilvl w:val="0"/>
          <w:numId w:val="1008"/>
        </w:numPr>
        <w:pStyle w:val="Compact"/>
      </w:pPr>
      <w:r>
        <w:t xml:space="preserve">Increased trust metrics among residents of</w:t>
      </w:r>
      <w:r>
        <w:t xml:space="preserve"> </w:t>
      </w:r>
      <w:r>
        <w:rPr>
          <w:bCs/>
          <w:b/>
        </w:rPr>
        <w:t xml:space="preserve">Kenya Nairobi</w:t>
      </w:r>
      <w:r>
        <w:t xml:space="preserve"> </w:t>
      </w:r>
      <w:r>
        <w:t xml:space="preserve">regarding professional pharmaceutical advice.</w:t>
      </w:r>
    </w:p>
    <w:p>
      <w:pPr>
        <w:numPr>
          <w:ilvl w:val="0"/>
          <w:numId w:val="1008"/>
        </w:numPr>
        <w:pStyle w:val="Compact"/>
      </w:pPr>
      <w:r>
        <w:t xml:space="preserve">Strengthened regulatory oversight enabling better tracking of drug quality and authenticity throughout</w:t>
      </w:r>
      <w:r>
        <w:t xml:space="preserve"> </w:t>
      </w:r>
      <w:r>
        <w:rPr>
          <w:iCs/>
          <w:i/>
        </w:rPr>
        <w:t xml:space="preserve">Kenya</w:t>
      </w:r>
      <w:r>
        <w:t xml:space="preserve">.</w:t>
      </w:r>
    </w:p>
    <w:bookmarkEnd w:id="29"/>
    <w:bookmarkStart w:id="30" w:name="conclusion"/>
    <w:p>
      <w:pPr>
        <w:pStyle w:val="Heading2"/>
      </w:pPr>
      <w:r>
        <w:t xml:space="preserve">8. Conclusion</w:t>
      </w:r>
    </w:p>
    <w:p>
      <w:pPr>
        <w:pStyle w:val="FirstParagraph"/>
      </w:pPr>
      <w:r>
        <w:t xml:space="preserve">This project report underscores the critical importance of empowering the</w:t>
      </w:r>
      <w:r>
        <w:t xml:space="preserve"> </w:t>
      </w:r>
      <w:r>
        <w:t xml:space="preserve">Pharmacist</w:t>
      </w:r>
      <w:r>
        <w:t xml:space="preserve">. By addressing systemic barriers and embracing technological innovation, we can transform healthcare delivery in</w:t>
      </w:r>
      <w:r>
        <w:t xml:space="preserve"> </w:t>
      </w:r>
      <w:r>
        <w:rPr>
          <w:bCs/>
          <w:b/>
        </w:rPr>
        <w:t xml:space="preserve">Kenya Nairobi</w:t>
      </w:r>
      <w:r>
        <w:t xml:space="preserve">. The integration of clinical pharmacy services into routine care will not only improve individual patient outcomes but also contribute significantly to the broader public health infrastructure of</w:t>
      </w:r>
      <w:r>
        <w:t xml:space="preserve"> </w:t>
      </w:r>
      <w:r>
        <w:rPr>
          <w:iCs/>
          <w:i/>
        </w:rPr>
        <w:t xml:space="preserve">Kenya</w:t>
      </w:r>
      <w:r>
        <w:t xml:space="preserve">. It is imperative that policymakers, healthcare providers, and communities collaborate to ensure that every resident of</w:t>
      </w:r>
      <w:r>
        <w:t xml:space="preserve"> </w:t>
      </w:r>
      <w:r>
        <w:t xml:space="preserve">Kenya Nairobi</w:t>
      </w:r>
      <w:r>
        <w:t xml:space="preserve"> </w:t>
      </w:r>
      <w:r>
        <w:t xml:space="preserve">has access to high-quality pharmaceutical care.</w:t>
      </w:r>
    </w:p>
    <w:bookmarkEnd w:id="30"/>
    <w:bookmarkStart w:id="31" w:name="recommendations-for-future-work"/>
    <w:p>
      <w:pPr>
        <w:pStyle w:val="Heading2"/>
      </w:pPr>
      <w:r>
        <w:t xml:space="preserve">9. Recommendations for Future Work</w:t>
      </w:r>
    </w:p>
    <w:p>
      <w:pPr>
        <w:numPr>
          <w:ilvl w:val="0"/>
          <w:numId w:val="1009"/>
        </w:numPr>
        <w:pStyle w:val="Compact"/>
      </w:pPr>
      <w:r>
        <w:t xml:space="preserve">Evaluate the impact of introducing mandatory continuing professional development (CPD) programs focused on NCDs for all pharmacists in</w:t>
      </w:r>
      <w:r>
        <w:t xml:space="preserve"> </w:t>
      </w:r>
      <w:r>
        <w:rPr>
          <w:bCs/>
          <w:b/>
        </w:rPr>
        <w:t xml:space="preserve">Kenya Nairobi</w:t>
      </w:r>
      <w:r>
        <w:t xml:space="preserve">.</w:t>
      </w:r>
    </w:p>
    <w:p>
      <w:pPr>
        <w:numPr>
          <w:ilvl w:val="0"/>
          <w:numId w:val="1009"/>
        </w:numPr>
        <w:pStyle w:val="Compact"/>
      </w:pPr>
      <w:r>
        <w:t xml:space="preserve">Increase funding for research into local herbal drug interactions, a culturally relevant topic in</w:t>
      </w:r>
      <w:r>
        <w:t xml:space="preserve"> </w:t>
      </w:r>
      <w:r>
        <w:rPr>
          <w:iCs/>
          <w:i/>
        </w:rPr>
        <w:t xml:space="preserve">Kenya</w:t>
      </w:r>
      <w:r>
        <w:t xml:space="preserv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Kenya Nairobi</dc:title>
  <dc:creator/>
  <dc:language>en</dc:language>
  <cp:keywords/>
  <dcterms:created xsi:type="dcterms:W3CDTF">2026-07-29T11:16:54Z</dcterms:created>
  <dcterms:modified xsi:type="dcterms:W3CDTF">2026-07-29T11:16:54Z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