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c1290938b2695b13e54b6acbe9e0e76b8d67dd"/>
    <w:p>
      <w:pPr>
        <w:pStyle w:val="Heading1"/>
      </w:pPr>
      <w:r>
        <w:t xml:space="preserve">Project Report: The Role and Strategic Impact of the Pharmacist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Malaysia &amp; Pharmaceutical Stakeholders</w:t>
      </w:r>
      <w:r>
        <w:br/>
      </w:r>
      <w:r>
        <w:rPr>
          <w:bCs/>
          <w:b/>
        </w:rPr>
        <w:t xml:space="preserve">From:</w:t>
      </w:r>
      <w:r>
        <w:t xml:space="preserve"> </w:t>
      </w:r>
      <w:r>
        <w:t xml:space="preserve">Strategic Healthcare Planning Unit</w:t>
      </w:r>
      <w:r>
        <w:br/>
      </w:r>
    </w:p>
    <w:p>
      <w:pPr>
        <w:pStyle w:val="BodyText"/>
      </w:pPr>
      <w:r>
        <w:t xml:space="preserve">Subject: Enhancing Clinical Pharmacy Services in the Capital Region</w:t>
      </w:r>
    </w:p>
    <w:p>
      <w:pPr>
        <w:pStyle w:val="BodyText"/>
      </w:pPr>
      <w:r>
        <w:t xml:space="preserve">2.0 Current Landscape in Malaysia Kuala Lumpur2.1 Public Sector Challenges2.2 Private Sector Expansion3.0 Regulatory Framework and Professional Standards4.0 Key Operational Challenges</w:t>
      </w:r>
      <w:r>
        <w:rPr>
          <w:bCs/>
          <w:b/>
        </w:rPr>
        <w:t xml:space="preserve">Workforce Shortages:</w:t>
      </w:r>
      <w:r>
        <w:t xml:space="preserve"> </w:t>
      </w:r>
      <w:r>
        <w:t xml:space="preserve">There is a mismatch between the number of pharmacy graduates and the available specialized positions. While entry-level positions are competitive, advanced clinical roles often struggle to attract experienced talent due to limited remuneration packages compared to international standards.</w:t>
      </w:r>
      <w:r>
        <w:rPr>
          <w:bCs/>
          <w:b/>
        </w:rPr>
        <w:t xml:space="preserve">Public Perception:</w:t>
      </w:r>
      <w:r>
        <w:t xml:space="preserve"> </w:t>
      </w:r>
      <w:r>
        <w:t xml:space="preserve">A significant portion of the Malaysian public still views pharmacists merely as vendors of medicine rather than healthcare experts. Changing this narrative requires sustained public education campaigns led by professional bodies like the Pharmaceutical Society of Malaysia.</w:t>
      </w:r>
      <w:r>
        <w:rPr>
          <w:bCs/>
          <w:b/>
        </w:rPr>
        <w:t xml:space="preserve">Digital Integration:</w:t>
      </w:r>
      <w:r>
        <w:t xml:space="preserve"> </w:t>
      </w:r>
      <w:r>
        <w:t xml:space="preserve">While private entities are advancing rapidly, interoperability between electronic health records (EHR) in different sectors remains fragmented. This limits the pharmacist's ability to have a holistic view of a patient’s medical history, which is essential for safe medication management.5.0 Strategic Recommendations5.1 Expansion of Clinical Services5.2 Digital Transformation</w:t>
      </w:r>
      <w:r>
        <w:rPr>
          <w:bCs/>
          <w:b/>
        </w:rPr>
        <w:t xml:space="preserve">Public Education Campaigns:</w:t>
      </w:r>
      <w:r>
        <w:t xml:space="preserve"> </w:t>
      </w:r>
      <w:r>
        <w:t xml:space="preserve">Launch nationwide campaigns in Klang Valley emphasizing the role of pharmacists in managing non-communicable diseases. This includes promoting community pharmacy as the first point of call for minor ailments.</w:t>
      </w:r>
      <w:r>
        <w:rPr>
          <w:bCs/>
          <w:b/>
        </w:rPr>
        <w:t xml:space="preserve">Premium Scope of Practice:</w:t>
      </w:r>
      <w:r>
        <w:t xml:space="preserve"> </w:t>
      </w:r>
      <w:r>
        <w:t xml:space="preserve">Introduce a tiered licensing system where pharmacists who complete specialized postgraduate certifications can be reimbursed directly by insurance companies for specific clinical services, creating a new revenue stream and recognizing professional expertise.6.0 Conclusion7.0 ReferencesMinistry of Health Malaysia. (2023). National Pharmaceutical Regulatory Agency Guidelines.Pharmacy Board Malaysia. (2023). Annual Report on Pharmacy Practice and Regulation.Kuala Lumpur City Hall. (2024). Demographic Statistics and Healthcare Infrastructure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Impact of the Pharmacist in Malaysia, Kuala Lumpur</dc:title>
  <dc:creator/>
  <dc:language>en</dc:language>
  <cp:keywords/>
  <dcterms:created xsi:type="dcterms:W3CDTF">2026-07-29T08:58:09Z</dcterms:created>
  <dcterms:modified xsi:type="dcterms:W3CDTF">2026-07-29T08:58:09Z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