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34" w:name="X9f388c6a1715f86e530890b77dd22ce4a39de1d"/>
    <w:p>
      <w:pPr>
        <w:pStyle w:val="Heading1"/>
      </w:pPr>
      <w:r>
        <w:t xml:space="preserve">Project Report: Enhancing Pharmacist Services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Funding Authority of New Zealand Auckland Regional District</w:t>
      </w:r>
      <w:r>
        <w:br/>
      </w:r>
      <w:r>
        <w:rPr>
          <w:bCs/>
          <w:b/>
        </w:rPr>
        <w:t xml:space="preserve">From:</w:t>
      </w:r>
      <w:r>
        <w:t xml:space="preserve"> </w:t>
      </w:r>
      <w:r>
        <w:t xml:space="preserve">Strategic Health Planning Committee</w:t>
      </w:r>
      <w:r>
        <w:br/>
      </w:r>
    </w:p>
    <w:bookmarkStart w:id="20" w:name="section"/>
    <w:p>
      <w:pPr>
        <w:pStyle w:val="Heading3"/>
      </w:pPr>
    </w:p>
    <w:p>
      <w:pPr>
        <w:pStyle w:val="FirstParagraph"/>
      </w:pPr>
      <w:r>
        <w:t xml:space="preserve">Subject: Strategic Integration and Expansion of Pharmacist-Led Care Models in New Zealand Auckland</w:t>
      </w:r>
    </w:p>
    <w:bookmarkEnd w:id="20"/>
    <w:p>
      <w:pPr>
        <w:pStyle w:val="BodyText"/>
      </w:pPr>
      <w:r>
        <w:t xml:space="preserve">This Project Report serves as a comprehensive analysis and strategic proposal for the integration, expansion, and optimization of</w:t>
      </w:r>
      <w:r>
        <w:t xml:space="preserve"> </w:t>
      </w:r>
      <w:r>
        <w:rPr>
          <w:bCs/>
          <w:b/>
        </w:rPr>
        <w:t xml:space="preserve">Pharmacist</w:t>
      </w:r>
      <w:r>
        <w:t xml:space="preserve">-led healthcare services within the dynamic urban landscape of</w:t>
      </w:r>
      <w:r>
        <w:t xml:space="preserve"> </w:t>
      </w:r>
      <w:r>
        <w:rPr>
          <w:bCs/>
          <w:b/>
        </w:rPr>
        <w:t xml:space="preserve">New Zealand Auckland</w:t>
      </w:r>
      <w:r>
        <w:t xml:space="preserve">. As the population density in Auckland continues to rise, presenting unique public health challenges ranging from chronic disease management to acute care accessibility, it is imperative that we leverage the full clinical potential of our pharmaceutical workforce. This document outlines the current state of pharmacy practice in</w:t>
      </w:r>
      <w:r>
        <w:t xml:space="preserve"> </w:t>
      </w:r>
      <w:r>
        <w:rPr>
          <w:bCs/>
          <w:b/>
        </w:rPr>
        <w:t xml:space="preserve">New Zealand Auckland</w:t>
      </w:r>
      <w:r>
        <w:t xml:space="preserve">, identifies critical gaps in service delivery, and proposes a roadmap for transforming community pharmacies into vital primary healthcare hubs.</w:t>
      </w:r>
    </w:p>
    <w:bookmarkStart w:id="21" w:name="executive-summary"/>
    <w:p>
      <w:pPr>
        <w:pStyle w:val="Heading2"/>
      </w:pPr>
      <w:r>
        <w:t xml:space="preserve">1. Executive Summary</w:t>
      </w:r>
    </w:p>
    <w:p>
      <w:pPr>
        <w:pStyle w:val="FirstParagraph"/>
      </w:pPr>
      <w:r>
        <w:t xml:space="preserve">The role of the modern pharmacist is undergoing a significant paradigm shift. No longer confined to dispensing medications behind a counter, pharmacists are increasingly recognized as accessible health professionals capable of prescribing, managing chronic conditions, and providing preventative care. In the context of</w:t>
      </w:r>
      <w:r>
        <w:t xml:space="preserve"> </w:t>
      </w:r>
      <w:r>
        <w:rPr>
          <w:bCs/>
          <w:b/>
        </w:rPr>
        <w:t xml:space="preserve">New Zealand Auckland</w:t>
      </w:r>
      <w:r>
        <w:t xml:space="preserve">, where healthcare demand frequently outstrips supply in general practice clinics, empowering pharmacists is not merely an operational adjustment but a strategic necessity. This report details how enhancing the scope of practice for pharmacists in</w:t>
      </w:r>
      <w:r>
        <w:t xml:space="preserve"> </w:t>
      </w:r>
      <w:r>
        <w:rPr>
          <w:bCs/>
          <w:b/>
        </w:rPr>
        <w:t xml:space="preserve">New Zealand Auckland</w:t>
      </w:r>
      <w:r>
        <w:t xml:space="preserve"> </w:t>
      </w:r>
      <w:r>
        <w:t xml:space="preserve">can alleviate pressure on hospitals and GPs, improve patient outcomes, and provide equitable access to healthcare for diverse communities across the region.</w:t>
      </w:r>
    </w:p>
    <w:bookmarkEnd w:id="21"/>
    <w:bookmarkStart w:id="24" w:name="X61d43c416ade538a25f279bc4438ca7fb1171c8"/>
    <w:p>
      <w:pPr>
        <w:pStyle w:val="Heading2"/>
      </w:pPr>
      <w:r>
        <w:t xml:space="preserve">2. Current Landscape of Pharmacy Practice in New Zealand Auckland</w:t>
      </w:r>
    </w:p>
    <w:p>
      <w:pPr>
        <w:pStyle w:val="FirstParagraph"/>
      </w:pPr>
      <w:r>
        <w:t xml:space="preserve">Auckland is the largest metropolitan area in</w:t>
      </w:r>
      <w:r>
        <w:t xml:space="preserve"> </w:t>
      </w:r>
      <w:r>
        <w:rPr>
          <w:bCs/>
          <w:b/>
        </w:rPr>
        <w:t xml:space="preserve">New Zealand Auckland</w:t>
      </w:r>
      <w:r>
        <w:t xml:space="preserve">, housing approximately one-third of the nation's population. This concentration creates a unique healthcare ecosystem characterized by high patient volume and diverse demographic needs, including significant Māori and Pacific Island populations who often face disproportionate health disparities.</w:t>
      </w:r>
    </w:p>
    <w:bookmarkStart w:id="22" w:name="regulatory-framework"/>
    <w:p>
      <w:pPr>
        <w:pStyle w:val="Heading3"/>
      </w:pPr>
      <w:r>
        <w:t xml:space="preserve">2.1 Regulatory Framework</w:t>
      </w:r>
    </w:p>
    <w:p>
      <w:pPr>
        <w:pStyle w:val="FirstParagraph"/>
      </w:pPr>
      <w:r>
        <w:t xml:space="preserve">In</w:t>
      </w:r>
      <w:r>
        <w:t xml:space="preserve"> </w:t>
      </w:r>
      <w:r>
        <w:rPr>
          <w:bCs/>
          <w:b/>
        </w:rPr>
        <w:t xml:space="preserve">New Zealand Auckland</w:t>
      </w:r>
      <w:r>
        <w:t xml:space="preserve">, pharmacist practice is regulated by the Pharmacy Council of New Zealand. Recently, legislative changes have expanded the scope of practice for registered pharmacists and pharmacy technicians. These changes include the ability to prescribe specific medicines under standardized prescriptions and independent prescribing in certain contexts. However, implementation varies across different regions within</w:t>
      </w:r>
      <w:r>
        <w:t xml:space="preserve"> </w:t>
      </w:r>
      <w:r>
        <w:rPr>
          <w:bCs/>
          <w:b/>
        </w:rPr>
        <w:t xml:space="preserve">New Zealand Auckland</w:t>
      </w:r>
      <w:r>
        <w:t xml:space="preserve">, with urban centers like central Auckland showing higher adoption rates than suburban or semi-rural areas.</w:t>
      </w:r>
    </w:p>
    <w:bookmarkEnd w:id="22"/>
    <w:bookmarkStart w:id="23" w:name="existing-service-models"/>
    <w:p>
      <w:pPr>
        <w:pStyle w:val="Heading3"/>
      </w:pPr>
      <w:r>
        <w:t xml:space="preserve">2.2 Existing Service Models</w:t>
      </w:r>
    </w:p>
    <w:p>
      <w:pPr>
        <w:pStyle w:val="FirstParagraph"/>
      </w:pPr>
      <w:r>
        <w:t xml:space="preserve">Currently, many pharmacies in</w:t>
      </w:r>
      <w:r>
        <w:t xml:space="preserve"> </w:t>
      </w:r>
      <w:r>
        <w:rPr>
          <w:bCs/>
          <w:b/>
        </w:rPr>
        <w:t xml:space="preserve">New Zealand Auckland</w:t>
      </w:r>
      <w:r>
        <w:t xml:space="preserve"> </w:t>
      </w:r>
      <w:r>
        <w:t xml:space="preserve">offer immunization services, medicine use reviews, and smoking cessation support. Despite these offerings, uptake has been inconsistent due to varying levels of patient awareness and reimbursement structures that do not always adequately compensate pharmacists for clinical consultation time.</w:t>
      </w:r>
    </w:p>
    <w:bookmarkEnd w:id="23"/>
    <w:bookmarkEnd w:id="24"/>
    <w:bookmarkStart w:id="25" w:name="X1c5ecc0fcbeddf417353789ad9c4ab4d0a1ad80"/>
    <w:p>
      <w:pPr>
        <w:pStyle w:val="Heading2"/>
      </w:pPr>
      <w:r>
        <w:t xml:space="preserve">3. Problem Statement: Access and Efficiency Gaps</w:t>
      </w:r>
    </w:p>
    <w:p>
      <w:pPr>
        <w:pStyle w:val="FirstParagraph"/>
      </w:pPr>
      <w:r>
        <w:t xml:space="preserve">The primary challenge facing the healthcare system in</w:t>
      </w:r>
      <w:r>
        <w:t xml:space="preserve"> </w:t>
      </w:r>
      <w:r>
        <w:rPr>
          <w:bCs/>
          <w:b/>
        </w:rPr>
        <w:t xml:space="preserve">New Zealand Auckland</w:t>
      </w:r>
      <w:r>
        <w:t xml:space="preserve"> </w:t>
      </w:r>
      <w:r>
        <w:t xml:space="preserve">is access. General Practitioners (GPs) are frequently overstretched, leading to long waiting times for appointments that could be managed by a pharmacist. Common minor ailments, medication adherence issues, and chronic disease monitoring often require immediate attention but result in emergency department visits or GP congestion due to the lack of seamless referral pathways between primary care providers.</w:t>
      </w:r>
    </w:p>
    <w:p>
      <w:pPr>
        <w:pStyle w:val="BodyText"/>
      </w:pPr>
      <w:r>
        <w:t xml:space="preserve">Furthermore, health inequities remain a concern in</w:t>
      </w:r>
      <w:r>
        <w:t xml:space="preserve"> </w:t>
      </w:r>
      <w:r>
        <w:rPr>
          <w:bCs/>
          <w:b/>
        </w:rPr>
        <w:t xml:space="preserve">New Zealand Auckland</w:t>
      </w:r>
      <w:r>
        <w:t xml:space="preserve">. Communities with lower socioeconomic status often have fewer healthcare resources. While pharmacies are distributed throughout these areas, they are underutilized for clinical services due to funding models that favor dispensing over consultation. Without addressing this, the potential of the pharmacist as a frontline health worker in</w:t>
      </w:r>
      <w:r>
        <w:t xml:space="preserve"> </w:t>
      </w:r>
      <w:r>
        <w:rPr>
          <w:bCs/>
          <w:b/>
        </w:rPr>
        <w:t xml:space="preserve">New Zealand Auckland</w:t>
      </w:r>
      <w:r>
        <w:t xml:space="preserve"> </w:t>
      </w:r>
      <w:r>
        <w:t xml:space="preserve">remains largely untapped.</w:t>
      </w:r>
    </w:p>
    <w:bookmarkEnd w:id="25"/>
    <w:bookmarkStart w:id="29" w:name="X643ec33a026b27834a64ab80fb801929e8ddce5"/>
    <w:p>
      <w:pPr>
        <w:pStyle w:val="Heading2"/>
      </w:pPr>
      <w:r>
        <w:t xml:space="preserve">4. Strategic Objectives and Proposed Interventions</w:t>
      </w:r>
    </w:p>
    <w:p>
      <w:pPr>
        <w:pStyle w:val="FirstParagraph"/>
      </w:pPr>
      <w:r>
        <w:t xml:space="preserve">To address these challenges, this Project Report proposes a three-pillar strategy focused on education, funding, and integration for pharmacists serving the community of</w:t>
      </w:r>
      <w:r>
        <w:t xml:space="preserve"> </w:t>
      </w:r>
      <w:r>
        <w:rPr>
          <w:bCs/>
          <w:b/>
        </w:rPr>
        <w:t xml:space="preserve">New Zealand Auckland</w:t>
      </w:r>
      <w:r>
        <w:t xml:space="preserve">.</w:t>
      </w:r>
    </w:p>
    <w:bookmarkStart w:id="26" w:name="X735ff6a977b5188f5103d721e143e281e4be5b0"/>
    <w:p>
      <w:pPr>
        <w:pStyle w:val="Heading3"/>
      </w:pPr>
      <w:r>
        <w:t xml:space="preserve">4.1 Pillar One: Expanded Scope of Practice and Education</w:t>
      </w:r>
    </w:p>
    <w:p>
      <w:pPr>
        <w:pStyle w:val="FirstParagraph"/>
      </w:pPr>
      <w:r>
        <w:t xml:space="preserve">We recommend mandating continuing professional development (CPD) modules specifically tailored to primary care skills for all pharmacists in high-demand areas of</w:t>
      </w:r>
      <w:r>
        <w:t xml:space="preserve"> </w:t>
      </w:r>
      <w:r>
        <w:rPr>
          <w:bCs/>
          <w:b/>
        </w:rPr>
        <w:t xml:space="preserve">New Zealand Auckland</w:t>
      </w:r>
      <w:r>
        <w:t xml:space="preserve">. This includes training in minor ailment prescribing, wound care, and basic mental health first aid. By equipping pharmacists with these advanced clinical skills, we can decentralize healthcare delivery and allow patients to receive timely treatment closer to their homes.</w:t>
      </w:r>
    </w:p>
    <w:bookmarkEnd w:id="26"/>
    <w:bookmarkStart w:id="27" w:name="pillar-two-sustainable-funding-models"/>
    <w:p>
      <w:pPr>
        <w:pStyle w:val="Heading3"/>
      </w:pPr>
      <w:r>
        <w:t xml:space="preserve">4.2 Pillar Two: Sustainable Funding Models</w:t>
      </w:r>
    </w:p>
    <w:p>
      <w:pPr>
        <w:pStyle w:val="FirstParagraph"/>
      </w:pPr>
      <w:r>
        <w:t xml:space="preserve">The current fee-for-service model for dispensing does not adequately value clinical expertise. We propose the introduction of a "Clinical Service Fee" funded by Health New Zealand (Te Whatu Ora) specifically for services rendered by pharmacists in</w:t>
      </w:r>
      <w:r>
        <w:t xml:space="preserve"> </w:t>
      </w:r>
      <w:r>
        <w:rPr>
          <w:bCs/>
          <w:b/>
        </w:rPr>
        <w:t xml:space="preserve">New Zealand Auckland</w:t>
      </w:r>
      <w:r>
        <w:t xml:space="preserve">. This would cover Medicine Use Reviews, chronic disease management consultations, and immunization administration outside of standard public health campaigns. Ensuring financial sustainability is crucial for maintaining high-quality pharmacist-led care.</w:t>
      </w:r>
    </w:p>
    <w:bookmarkEnd w:id="27"/>
    <w:bookmarkStart w:id="28" w:name="X960218896702fa797049a0055de20c260dc0bb9"/>
    <w:p>
      <w:pPr>
        <w:pStyle w:val="Heading3"/>
      </w:pPr>
      <w:r>
        <w:t xml:space="preserve">4.3 Pillar Three: Digital Integration and Referral Pathways</w:t>
      </w:r>
    </w:p>
    <w:p>
      <w:pPr>
        <w:pStyle w:val="FirstParagraph"/>
      </w:pPr>
      <w:r>
        <w:t xml:space="preserve">A robust digital infrastructure must be established to connect community pharmacists with general practitioners, specialists, and hospitals across</w:t>
      </w:r>
      <w:r>
        <w:t xml:space="preserve"> </w:t>
      </w:r>
      <w:r>
        <w:rPr>
          <w:bCs/>
          <w:b/>
        </w:rPr>
        <w:t xml:space="preserve">New Zealand Auckland</w:t>
      </w:r>
      <w:r>
        <w:t xml:space="preserve">. An interoperable electronic health record system would allow pharmacists to view patient histories (with consent) and document interventions in real-time. This ensures that when a pharmacist in Auckland treats a patient for an infection or adjusts medication dosage, the GP is immediately informed, preventing drug interactions and ensuring continuity of care.</w:t>
      </w:r>
    </w:p>
    <w:bookmarkEnd w:id="28"/>
    <w:bookmarkEnd w:id="29"/>
    <w:bookmarkStart w:id="30" w:name="expected-outcomes-and-impact-analysis"/>
    <w:p>
      <w:pPr>
        <w:pStyle w:val="Heading2"/>
      </w:pPr>
      <w:r>
        <w:t xml:space="preserve">5. Expected Outcomes and Impact Analysis</w:t>
      </w:r>
    </w:p>
    <w:p>
      <w:pPr>
        <w:pStyle w:val="FirstParagraph"/>
      </w:pPr>
      <w:r>
        <w:t xml:space="preserve">The successful implementation of these recommendations is expected to yield significant benefits for the healthcare system in</w:t>
      </w:r>
      <w:r>
        <w:t xml:space="preserve"> </w:t>
      </w:r>
      <w:r>
        <w:rPr>
          <w:bCs/>
          <w:b/>
        </w:rPr>
        <w:t xml:space="preserve">New Zealand Auckland</w:t>
      </w:r>
      <w:r>
        <w:t xml:space="preserve">.</w:t>
      </w:r>
    </w:p>
    <w:p>
      <w:pPr>
        <w:numPr>
          <w:ilvl w:val="0"/>
          <w:numId w:val="1001"/>
        </w:numPr>
        <w:pStyle w:val="Compact"/>
      </w:pPr>
      <w:r>
        <w:rPr>
          <w:bCs/>
          <w:b/>
        </w:rPr>
        <w:t xml:space="preserve">Reduced Wait Times:</w:t>
      </w:r>
      <w:r>
        <w:t xml:space="preserve"> </w:t>
      </w:r>
      <w:r>
        <w:t xml:space="preserve">By diverting minor ailment cases to pharmacists, GP wait times could decrease by an estimated 15-20% in urban centers.</w:t>
      </w:r>
    </w:p>
    <w:p>
      <w:pPr>
        <w:numPr>
          <w:ilvl w:val="0"/>
          <w:numId w:val="1001"/>
        </w:numPr>
        <w:pStyle w:val="Compact"/>
      </w:pPr>
      <w:r>
        <w:rPr>
          <w:bCs/>
          <w:b/>
        </w:rPr>
        <w:t xml:space="preserve">Improved Chronic Disease Management:</w:t>
      </w:r>
      <w:r>
        <w:t xml:space="preserve"> </w:t>
      </w:r>
      <w:r>
        <w:t xml:space="preserve">Regular pharmacist-led reviews have been shown to improve adherence rates and clinical markers for conditions like diabetes and hypertension, reducing the burden on secondary care in</w:t>
      </w:r>
      <w:r>
        <w:t xml:space="preserve"> </w:t>
      </w:r>
      <w:r>
        <w:rPr>
          <w:bCs/>
          <w:b/>
        </w:rPr>
        <w:t xml:space="preserve">New Zealand Auckland</w:t>
      </w:r>
      <w:r>
        <w:t xml:space="preserve">.</w:t>
      </w:r>
    </w:p>
    <w:p>
      <w:pPr>
        <w:numPr>
          <w:ilvl w:val="0"/>
          <w:numId w:val="1001"/>
        </w:numPr>
        <w:pStyle w:val="Compact"/>
      </w:pPr>
      <w:r>
        <w:rPr>
          <w:bCs/>
          <w:b/>
        </w:rPr>
        <w:t xml:space="preserve">Economic Efficiency:</w:t>
      </w:r>
      <w:r>
        <w:t xml:space="preserve"> </w:t>
      </w:r>
      <w:r>
        <w:t xml:space="preserve">While initial investment in training and funding is required, long-term savings are projected through reduced emergency department visits and hospital admissions resulting from better medication management.</w:t>
      </w:r>
    </w:p>
    <w:p>
      <w:pPr>
        <w:numPr>
          <w:ilvl w:val="0"/>
          <w:numId w:val="1001"/>
        </w:numPr>
        <w:pStyle w:val="Compact"/>
      </w:pPr>
      <w:r>
        <w:rPr>
          <w:bCs/>
          <w:b/>
        </w:rPr>
        <w:t xml:space="preserve">Health Equity:</w:t>
      </w:r>
      <w:r>
        <w:t xml:space="preserve"> </w:t>
      </w:r>
      <w:r>
        <w:t xml:space="preserve">Targeted interventions in underserved communities within</w:t>
      </w:r>
      <w:r>
        <w:t xml:space="preserve"> </w:t>
      </w:r>
      <w:r>
        <w:rPr>
          <w:bCs/>
          <w:b/>
        </w:rPr>
        <w:t xml:space="preserve">New Zealand Auckland</w:t>
      </w:r>
      <w:r>
        <w:t xml:space="preserve"> </w:t>
      </w:r>
      <w:r>
        <w:t xml:space="preserve">will help bridge the gap in healthcare access for marginalized populations.</w:t>
      </w:r>
    </w:p>
    <w:bookmarkEnd w:id="30"/>
    <w:bookmarkStart w:id="31" w:name="risk-management-and-mitigation"/>
    <w:p>
      <w:pPr>
        <w:pStyle w:val="Heading2"/>
      </w:pPr>
      <w:r>
        <w:t xml:space="preserve">6. Risk Management and Mitigation</w:t>
      </w:r>
    </w:p>
    <w:p>
      <w:pPr>
        <w:pStyle w:val="FirstParagraph"/>
      </w:pPr>
      <w:r>
        <w:t xml:space="preserve">Risks associated with this project include potential resistance from traditionalist segments of the medical profession and initial logistical hurdles in digital integration. To mitigate these, stakeholder engagement workshops involving GPs, hospital specialists, and pharmacy owners will be held quarterly. Additionally, a phased rollout approach will allow for troubleshooting and adjustment of workflows before full-scale implementation across all</w:t>
      </w:r>
      <w:r>
        <w:t xml:space="preserve"> </w:t>
      </w:r>
      <w:r>
        <w:rPr>
          <w:bCs/>
          <w:b/>
        </w:rPr>
        <w:t xml:space="preserve">New Zealand Auckland</w:t>
      </w:r>
      <w:r>
        <w:t xml:space="preserve"> </w:t>
      </w:r>
      <w:r>
        <w:t xml:space="preserve">regions.</w:t>
      </w:r>
    </w:p>
    <w:bookmarkEnd w:id="31"/>
    <w:bookmarkStart w:id="32" w:name="conclusion"/>
    <w:p>
      <w:pPr>
        <w:pStyle w:val="Heading2"/>
      </w:pPr>
      <w:r>
        <w:t xml:space="preserve">7. Conclusion</w:t>
      </w:r>
    </w:p>
    <w:p>
      <w:pPr>
        <w:pStyle w:val="FirstParagraph"/>
      </w:pPr>
      <w:r>
        <w:t xml:space="preserve">The transformation of the pharmacist's role is no longer optional; it is essential for the resilience and efficiency of the healthcare system in</w:t>
      </w:r>
      <w:r>
        <w:t xml:space="preserve"> </w:t>
      </w:r>
      <w:r>
        <w:rPr>
          <w:bCs/>
          <w:b/>
        </w:rPr>
        <w:t xml:space="preserve">New Zealand Auckland</w:t>
      </w:r>
      <w:r>
        <w:t xml:space="preserve">. By recognizing pharmacists as integral members of the multidisciplinary health team, we can create a more responsive, equitable, and sustainable healthcare model. This Project Report urges immediate action from policymakers and funding bodies to support this vital evolution. Investing in</w:t>
      </w:r>
      <w:r>
        <w:t xml:space="preserve"> </w:t>
      </w:r>
      <w:r>
        <w:rPr>
          <w:bCs/>
          <w:b/>
        </w:rPr>
        <w:t xml:space="preserve">Pharmacist</w:t>
      </w:r>
      <w:r>
        <w:t xml:space="preserve">-led care is an investment in the health and well-being of every resident in</w:t>
      </w:r>
      <w:r>
        <w:t xml:space="preserve"> </w:t>
      </w:r>
      <w:r>
        <w:rPr>
          <w:bCs/>
          <w:b/>
        </w:rPr>
        <w:t xml:space="preserve">New Zealand Auckland</w:t>
      </w:r>
      <w:r>
        <w:t xml:space="preserve">.</w:t>
      </w:r>
    </w:p>
    <w:bookmarkEnd w:id="32"/>
    <w:bookmarkStart w:id="33" w:name="recommendations-for-next-steps"/>
    <w:p>
      <w:pPr>
        <w:pStyle w:val="Heading2"/>
      </w:pPr>
      <w:r>
        <w:t xml:space="preserve">8. Recommendations for Next Steps</w:t>
      </w:r>
    </w:p>
    <w:p>
      <w:pPr>
        <w:numPr>
          <w:ilvl w:val="0"/>
          <w:numId w:val="1002"/>
        </w:numPr>
        <w:pStyle w:val="Compact"/>
      </w:pPr>
      <w:r>
        <w:t xml:space="preserve">Establish a joint task force between Te Whatu Ora, the Pharmacy Council, and community pharmacy associations to finalize funding models.</w:t>
      </w:r>
    </w:p>
    <w:p>
      <w:pPr>
        <w:numPr>
          <w:ilvl w:val="0"/>
          <w:numId w:val="1002"/>
        </w:numPr>
        <w:pStyle w:val="Compact"/>
      </w:pPr>
      <w:r>
        <w:t xml:space="preserve">Pilot expanded clinical services in five high-demand pharmacies across diverse neighborhoods in</w:t>
      </w:r>
      <w:r>
        <w:t xml:space="preserve"> </w:t>
      </w:r>
      <w:r>
        <w:rPr>
          <w:bCs/>
          <w:b/>
        </w:rPr>
        <w:t xml:space="preserve">New Zealand Auckland</w:t>
      </w:r>
      <w:r>
        <w:t xml:space="preserve">.</w:t>
      </w:r>
    </w:p>
    <w:p>
      <w:pPr>
        <w:numPr>
          <w:ilvl w:val="0"/>
          <w:numId w:val="1002"/>
        </w:numPr>
        <w:pStyle w:val="Compact"/>
      </w:pPr>
      <w:r>
        <w:t xml:space="preserve">Develop standardized digital protocols for cross-sector communication between pharmacists and GPs.</w:t>
      </w:r>
    </w:p>
    <w:p>
      <w:pPr>
        <w:numPr>
          <w:ilvl w:val="0"/>
          <w:numId w:val="1002"/>
        </w:numPr>
        <w:pStyle w:val="Compact"/>
      </w:pPr>
      <w:r>
        <w:t xml:space="preserve">Launch a public awareness campaign to educate residents of</w:t>
      </w:r>
      <w:r>
        <w:t xml:space="preserve"> </w:t>
      </w:r>
      <w:r>
        <w:rPr>
          <w:bCs/>
          <w:b/>
        </w:rPr>
        <w:t xml:space="preserve">New Zealand Auckland</w:t>
      </w:r>
      <w:r>
        <w:t xml:space="preserve"> </w:t>
      </w:r>
      <w:r>
        <w:t xml:space="preserve">on the new services available from their local pharmacists.</w:t>
      </w:r>
    </w:p>
    <w:p>
      <w:pPr>
        <w:pStyle w:val="FirstParagraph"/>
      </w:pPr>
      <w:r>
        <w:t xml:space="preserve">© 2023 Health Planning Committee. All rights reserved. Document prepared for internal review regarding healthcare infrastructure in New Zealand Auckland.</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Services in New Zealand Auckland</dc:title>
  <dc:creator/>
  <dc:language>en</dc:language>
  <cp:keywords/>
  <dcterms:created xsi:type="dcterms:W3CDTF">2026-07-29T17:18:36Z</dcterms:created>
  <dcterms:modified xsi:type="dcterms:W3CDTF">2026-07-29T17:18:36Z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