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p>
      <w:pPr>
        <w:pStyle w:val="FirstParagraph"/>
      </w:pPr>
      <w:r>
        <w:t xml:space="preserve">```html</w:t>
      </w:r>
    </w:p>
    <w:bookmarkStart w:id="29" w:name="X5efca0fc21750805d863134fdad4dfec5263755"/>
    <w:p>
      <w:pPr>
        <w:pStyle w:val="Heading1"/>
      </w:pPr>
      <w:r>
        <w:t xml:space="preserve">Project Report: Advancing Scientific Research through the Physicist Program in Ethiopia Addis Ababa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Ministry of Science and Higher Education, Republic of Ethiopia</w:t>
      </w:r>
      <w:r>
        <w:br/>
      </w:r>
      <w:r>
        <w:rPr>
          <w:bCs/>
          <w:b/>
        </w:rPr>
        <w:t xml:space="preserve">From:</w:t>
      </w:r>
      <w:r>
        <w:t xml:space="preserve">National Institute for Advanced Physics Research (NIAPR)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outlines the strategic implementation and anticipated impact of introducing a specialized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development program within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As a rapidly developing nation with ambitious goals under its ten-year perspective plan, Ethiopia recognizes the critical role that fundamental science plays in technological innovation, energy security, and industrial growth. The primary objective of this project is to establish a hub for advanced physical research and education in the capital city, leveraging local talent while fostering international collaboration. By focusing on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as the central node for scientific inquiry, we aim to bridge the gap between theoretical physics and practical industrial applications.</w:t>
      </w:r>
    </w:p>
    <w:bookmarkEnd w:id="20"/>
    <w:bookmarkStart w:id="21" w:name="project-background-and-rationale"/>
    <w:p>
      <w:pPr>
        <w:pStyle w:val="Heading2"/>
      </w:pPr>
      <w:r>
        <w:t xml:space="preserve">2. Project Background and Rationale</w:t>
      </w:r>
    </w:p>
    <w:p>
      <w:pPr>
        <w:pStyle w:val="FirstParagraph"/>
      </w:pPr>
      <w:r>
        <w:t xml:space="preserve">The demand for qualified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professionals in Ethiopia has grown significantly in recent years. From renewable energy projects to telecommunications infrastructure, the applications of physics are ubiquitous yet often understated in national development discourse.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as the political and economic heart of the country, offers unique logistical advantages for such an initiative. The city houses several universities and research institutions, providing a fertile ground for academic synergy.</w:t>
      </w:r>
    </w:p>
    <w:p>
      <w:pPr>
        <w:pStyle w:val="BodyText"/>
      </w:pPr>
      <w:r>
        <w:t xml:space="preserve">However, there is a notable shortage of specialized researchers who can lead high-level experiments in quantum mechanics, astrophysics, and condensed matter physics. This project seeks to rectify this by creating a dedicated center that not only trains new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experts but also supports existing faculty and students in conducting cutting-edge research. The rationale is rooted in the belief that scientific literacy and advancement are pillars of sustainable development.</w:t>
      </w:r>
    </w:p>
    <w:bookmarkEnd w:id="21"/>
    <w:bookmarkStart w:id="22" w:name="objectives"/>
    <w:p>
      <w:pPr>
        <w:pStyle w:val="Heading2"/>
      </w:pPr>
      <w:r>
        <w:t xml:space="preserve">3. Objectives</w:t>
      </w:r>
    </w:p>
    <w:p>
      <w:pPr>
        <w:numPr>
          <w:ilvl w:val="0"/>
          <w:numId w:val="1001"/>
        </w:numPr>
        <w:pStyle w:val="Compact"/>
      </w:pPr>
      <w:r>
        <w:t xml:space="preserve">To establish a state-of-the-art physics laboratory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equipped for experimental and computational research.</w:t>
      </w:r>
    </w:p>
    <w:p>
      <w:pPr>
        <w:numPr>
          <w:ilvl w:val="0"/>
          <w:numId w:val="1001"/>
        </w:numPr>
        <w:pStyle w:val="Compact"/>
      </w:pPr>
      <w:r>
        <w:t xml:space="preserve">To train at least 50 new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researchers annually through graduate fellowships and post-doctoral programs.</w:t>
      </w:r>
    </w:p>
    <w:p>
      <w:pPr>
        <w:numPr>
          <w:ilvl w:val="0"/>
          <w:numId w:val="1001"/>
        </w:numPr>
        <w:pStyle w:val="Compact"/>
      </w:pPr>
      <w:r>
        <w:t xml:space="preserve">To foster partnerships between local institutions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and international physics organizations.</w:t>
      </w:r>
    </w:p>
    <w:p>
      <w:pPr>
        <w:numPr>
          <w:ilvl w:val="0"/>
          <w:numId w:val="1001"/>
        </w:numPr>
        <w:pStyle w:val="Compact"/>
      </w:pPr>
      <w:r>
        <w:t xml:space="preserve">To produce actionable research findings that contribute to national policies on energy, climate change, and technology.</w:t>
      </w:r>
    </w:p>
    <w:bookmarkEnd w:id="22"/>
    <w:bookmarkStart w:id="23" w:name="scope-of-work"/>
    <w:p>
      <w:pPr>
        <w:pStyle w:val="Heading2"/>
      </w:pPr>
      <w:r>
        <w:t xml:space="preserve">4. Scope of Work</w:t>
      </w:r>
    </w:p>
    <w:p>
      <w:pPr>
        <w:pStyle w:val="FirstParagraph"/>
      </w:pPr>
      <w:r>
        <w:t xml:space="preserve">The project scope encompasses several key areas focused on the role of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 modern society: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Laboratory Infrastructure:</w:t>
      </w:r>
      <w:r>
        <w:t xml:space="preserve"> </w:t>
      </w:r>
      <w:r>
        <w:t xml:space="preserve">Construction and equipping of specialized labs for optics, nuclear physics, and materials science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Grants:</w:t>
      </w:r>
      <w:r>
        <w:t xml:space="preserve"> </w:t>
      </w:r>
      <w:r>
        <w:t xml:space="preserve">Establishing a fund to support small-scale projects led by local researchers.</w:t>
      </w:r>
    </w:p>
    <w:bookmarkEnd w:id="23"/>
    <w:bookmarkStart w:id="24" w:name="implementation-strategy"/>
    <w:p>
      <w:pPr>
        <w:pStyle w:val="Heading2"/>
      </w:pPr>
      <w:r>
        <w:t xml:space="preserve">5. Implementation Strategy</w:t>
      </w:r>
    </w:p>
    <w:p>
      <w:pPr>
        <w:pStyle w:val="FirstParagraph"/>
      </w:pPr>
      <w:r>
        <w:t xml:space="preserve">The implementation will be phased over three years. The first phase involves site selection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specifically near the Addis Ababa University campus to ensure academic integration. The second phase focuses on procurement of scientific equipment and recruitment of key personnel, including senior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advisors from abroad who will mentor local talent. The final phase involves the launch of research programs and community outreach.</w:t>
      </w:r>
    </w:p>
    <w:p>
      <w:pPr>
        <w:pStyle w:val="BodyText"/>
      </w:pPr>
      <w:r>
        <w:t xml:space="preserve">Critical to this strategy is the engagement with the local community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We plan to host public science exhibitions and workshops to demystify physics and inspire young minds. This ensures that the benefits of having a robust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community are felt beyond academic circles.</w:t>
      </w:r>
    </w:p>
    <w:bookmarkEnd w:id="24"/>
    <w:bookmarkStart w:id="25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The successful execution of this project will yield significant outcomes for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We expect to see:</w:t>
      </w:r>
    </w:p>
    <w:p>
      <w:pPr>
        <w:numPr>
          <w:ilvl w:val="0"/>
          <w:numId w:val="1003"/>
        </w:numPr>
        <w:pStyle w:val="Compact"/>
      </w:pPr>
      <w:r>
        <w:t xml:space="preserve">A measurable increase in peer-reviewed publications authored by researchers from Ethiopia, particularly those specializing as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experts.</w:t>
      </w:r>
    </w:p>
    <w:p>
      <w:pPr>
        <w:numPr>
          <w:ilvl w:val="0"/>
          <w:numId w:val="1003"/>
        </w:numPr>
        <w:pStyle w:val="Compact"/>
      </w:pPr>
      <w:r>
        <w:t xml:space="preserve">Enhanced technological capabilities in local industries due to better understanding of physical principles and materials.</w:t>
      </w:r>
    </w:p>
    <w:bookmarkEnd w:id="25"/>
    <w:bookmarkStart w:id="26" w:name="budget-overview"/>
    <w:p>
      <w:pPr>
        <w:pStyle w:val="Heading2"/>
      </w:pPr>
      <w:r>
        <w:t xml:space="preserve">7. Budget Overview</w:t>
      </w:r>
    </w:p>
    <w:p>
      <w:pPr>
        <w:pStyle w:val="FirstParagraph"/>
      </w:pPr>
      <w:r>
        <w:t xml:space="preserve">C Category</w:t>
      </w:r>
    </w:p>
    <w:p>
      <w:pPr>
        <w:pStyle w:val="BodyText"/>
      </w:pPr>
      <w:r>
        <w:t xml:space="preserve">"$500,000</w:t>
      </w:r>
    </w:p>
    <w:p>
      <w:pPr>
        <w:pStyle w:val="BodyText"/>
      </w:pPr>
      <w:r>
        <w:t xml:space="preserve">$35,998.</w:t>
      </w:r>
      <w:r>
        <w:br/>
      </w:r>
      <w:r>
        <w:t xml:space="preserve">Training Programs</w:t>
      </w:r>
    </w:p>
    <w:p>
      <w:pPr>
        <w:pStyle w:val="BodyText"/>
      </w:pPr>
      <w:r>
        <w:t xml:space="preserve">15%</w:t>
      </w:r>
      <w:r>
        <w:br/>
      </w:r>
    </w:p>
    <w:p>
      <w:pPr>
        <w:pStyle w:val="BodyText"/>
      </w:pPr>
      <w:r>
        <w:t xml:space="preserve">$468.1</w:t>
      </w:r>
      <w:r>
        <w:br/>
      </w:r>
      <w:r>
        <w:t xml:space="preserve">Contingency</w:t>
      </w:r>
      <w:r>
        <w:br/>
      </w:r>
    </w:p>
    <w:p>
      <w:pPr>
        <w:pStyle w:val="BodyText"/>
      </w:pPr>
      <w:r>
        <w:t xml:space="preserve">2%</w:t>
      </w:r>
      <w:r>
        <w:br/>
      </w:r>
    </w:p>
    <w:bookmarkEnd w:id="26"/>
    <w:bookmarkStart w:id="27" w:name="risk-management"/>
    <w:p>
      <w:pPr>
        <w:pStyle w:val="Heading2"/>
      </w:pPr>
      <w:r>
        <w:t xml:space="preserve">8. Risk Management</w:t>
      </w:r>
    </w:p>
    <w:p>
      <w:pPr>
        <w:pStyle w:val="FirstParagraph"/>
      </w:pPr>
      <w:r>
        <w:t xml:space="preserve">Potential risks include delays in equipment procurement due to import regulations and fluctuating currency exchange rates affecting the cost of specialized materials for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lab. Additionally, brain drain remains a concern; however, by creating attractive opportunities within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we aim to retain top talent. Mitigation strategies include securing local suppliers where possible and offering competitive incentives for researchers.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The introduction of a dedicated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development program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represents a vital step toward scientific self-reliance and innovation. By investing in human capital and infrastructure, we are not just building labs; we are building the future capacity of Ethiopia to solve complex challenges through science. This project report underscores the necessity of supporting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initiatives as a cornerstone for national progress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We urge stakeholders to support this endeavor, recognizing that the knowledge generated by our local physicists will serve as a catalyst for broader socio-economic development.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Prepared by the Project Management Office, Ethiopia Addis Ababa.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Physicist Initiative in Ethiopia Addis Ababa</dc:title>
  <dc:creator/>
  <dc:language>en</dc:language>
  <cp:keywords/>
  <dcterms:created xsi:type="dcterms:W3CDTF">2026-09-25T11:36:22Z</dcterms:created>
  <dcterms:modified xsi:type="dcterms:W3CDTF">2026-09-25T11:36:22Z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