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Physicist</w:t>
      </w:r>
      <w:r>
        <w:t xml:space="preserve"> </w:t>
      </w:r>
      <w:r>
        <w:t xml:space="preserve">Role</w:t>
      </w:r>
      <w:r>
        <w:t xml:space="preserve"> </w:t>
      </w:r>
      <w:r>
        <w:t xml:space="preserve">in</w:t>
      </w:r>
      <w:r>
        <w:t xml:space="preserve"> </w:t>
      </w:r>
      <w:r>
        <w:t xml:space="preserve">Germany</w:t>
      </w:r>
      <w:r>
        <w:t xml:space="preserve"> </w:t>
      </w:r>
      <w:r>
        <w:t xml:space="preserve">Frankfurt</w:t>
      </w:r>
    </w:p>
    <w:bookmarkStart w:id="27" w:name="X8539e66875682a5dab89a780decdc46f04ae297"/>
    <w:p>
      <w:pPr>
        <w:pStyle w:val="Heading1"/>
      </w:pPr>
      <w:r>
        <w:t xml:space="preserve">Project Report Strategic Integration of a Physicist in the Innovation Ecosystem of Germany Frankfurt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p>
    <w:p>
      <w:pPr>
        <w:pStyle w:val="BodyText"/>
      </w:pPr>
      <w:r>
        <w:t xml:space="preserve">R&amp;D Department Head</w:t>
      </w:r>
      <w:r>
        <w:br/>
      </w:r>
      <w:r>
        <w:br/>
      </w:r>
    </w:p>
    <w:bookmarkStart w:id="20" w:name="executive-summary"/>
    <w:p>
      <w:pPr>
        <w:pStyle w:val="Heading2"/>
      </w:pPr>
      <w:r>
        <w:t xml:space="preserve">1. Executive Summary</w:t>
      </w:r>
    </w:p>
    <w:p>
      <w:pPr>
        <w:pStyle w:val="FirstParagraph"/>
      </w:pPr>
      <w:r>
        <w:t xml:space="preserve">This</w:t>
      </w:r>
      <w:r>
        <w:t xml:space="preserve"> </w:t>
      </w:r>
      <w:r>
        <w:rPr>
          <w:iCs/>
          <w:i/>
        </w:rPr>
        <w:t xml:space="preserve">Project Report</w:t>
      </w:r>
      <w:r>
        <w:t xml:space="preserve">PhysicistGermany Frankfurt.The decision to embed high-level scientific expertise within this specific geographical hub is driven by the unique confluence of financial capital, technological infrastructure, and academic excellence present in this region. This document details how the role of the</w:t>
      </w:r>
      <w:r>
        <w:t xml:space="preserve"> </w:t>
      </w:r>
      <w:r>
        <w:rPr>
          <w:iCs/>
          <w:i/>
        </w:rPr>
        <w:t xml:space="preserve">Physicist</w:t>
      </w:r>
      <w:r>
        <w:t xml:space="preserve">Germany Frankfurt.</w:t>
      </w:r>
    </w:p>
    <w:bookmarkEnd w:id="20"/>
    <w:bookmarkStart w:id="21" w:name="Xe1a29a8ffbe5b682cdc4997d34d0efb4017fe3d"/>
    <w:p>
      <w:pPr>
        <w:pStyle w:val="Heading2"/>
      </w:pPr>
      <w:r>
        <w:t xml:space="preserve">2. Strategic Context: The Importance of Location</w:t>
      </w:r>
    </w:p>
    <w:p>
      <w:pPr>
        <w:pStyle w:val="FirstParagraph"/>
      </w:pPr>
      <w:r>
        <w:t xml:space="preserve">To understand the full weight of this hiring initiative, one must first analyze the significance of the location.</w:t>
      </w:r>
      <w:r>
        <w:t xml:space="preserve"> </w:t>
      </w:r>
      <w:r>
        <w:rPr>
          <w:bCs/>
          <w:b/>
        </w:rPr>
        <w:t xml:space="preserve">Germany Frankfurt</w:t>
      </w:r>
      <w:r>
        <w:t xml:space="preserve">(officially known as Frankfurt am Main) is not merely a financial capital; it has evolved into a premier hub for science, technology, and innovation in Central Europe. The city hosts dense clusters of research institutes such as GSI Helmholtz Centre for Heavy Ion Research and numerous corporate R&amp;D centers for industries ranging from pharmaceuticals to fintech.</w:t>
      </w:r>
    </w:p>
    <w:p>
      <w:pPr>
        <w:pStyle w:val="BodyText"/>
      </w:pPr>
      <w:r>
        <w:t xml:space="preserve">By establishing a</w:t>
      </w:r>
      <w:r>
        <w:t xml:space="preserve"> </w:t>
      </w:r>
      <w:r>
        <w:rPr>
          <w:iCs/>
          <w:i/>
        </w:rPr>
        <w:t xml:space="preserve">Physicist</w:t>
      </w:r>
      <w:r>
        <w:t xml:space="preserve">Germany Frankfurt,We are leveraging the local ecosystem. The region offers unparalleled access to talent pools from nearby universities, including Goethe University Frankfurt and the Technical University of Darmstadt. Furthermore, the infrastructure in</w:t>
      </w:r>
      <w:r>
        <w:t xml:space="preserve"> </w:t>
      </w:r>
      <w:r>
        <w:rPr>
          <w:bCs/>
          <w:b/>
        </w:rPr>
        <w:t xml:space="preserve">Germany Frankfurt</w:t>
      </w:r>
      <w:r>
        <w:t xml:space="preserve">, characterized by high-speed digital connectivity and proximity to international airports, facilitates rapid collaboration with global partners. This report asserts that the physical presence of a physicist in this specific city is not just an administrative choice but a strategic imperative to tap into the regional innovation network.</w:t>
      </w:r>
    </w:p>
    <w:bookmarkEnd w:id="21"/>
    <w:bookmarkStart w:id="22" w:name="Xf8f1bc365baa7b1cfaad967d2dbb894b4c9779f"/>
    <w:p>
      <w:pPr>
        <w:pStyle w:val="Heading2"/>
      </w:pPr>
      <w:r>
        <w:t xml:space="preserve">3. The Role of the Physicist: Core Responsibilities</w:t>
      </w:r>
    </w:p>
    <w:p>
      <w:pPr>
        <w:pStyle w:val="FirstParagraph"/>
      </w:pPr>
      <w:r>
        <w:t xml:space="preserve">The central figure in this</w:t>
      </w:r>
      <w:r>
        <w:t xml:space="preserve"> </w:t>
      </w:r>
      <w:r>
        <w:rPr>
          <w:iCs/>
          <w:i/>
        </w:rPr>
        <w:t xml:space="preserve">Project Report</w:t>
      </w:r>
      <w:r>
        <w:t xml:space="preserve">Physicist.This role transcends traditional laboratory work; it requires a professional who can bridge theoretical physics with practical engineering applications. The primary responsibilities include:</w:t>
      </w:r>
    </w:p>
    <w:p>
      <w:pPr>
        <w:numPr>
          <w:ilvl w:val="0"/>
          <w:numId w:val="1001"/>
        </w:numPr>
        <w:pStyle w:val="Compact"/>
      </w:pPr>
      <w:r>
        <w:rPr>
          <w:bCs/>
          <w:b/>
        </w:rPr>
        <w:t xml:space="preserve">Theoretical Modeling and Simulation:</w:t>
      </w:r>
      <w:r>
        <w:t xml:space="preserve">The physicist will develop complex computational models to simulate physical phenomena relevant to our product development cycles, particularly in areas such as electromagnetism, thermodynamics, and quantum mechanics.</w:t>
      </w:r>
    </w:p>
    <w:p>
      <w:pPr>
        <w:numPr>
          <w:ilvl w:val="0"/>
          <w:numId w:val="1001"/>
        </w:numPr>
        <w:pStyle w:val="Compact"/>
      </w:pPr>
      <w:r>
        <w:t xml:space="preserve">Experimental Design and Execution: Conducting rigorous experiments to validate theoretical models. In the context of</w:t>
      </w:r>
      <w:r>
        <w:t xml:space="preserve"> </w:t>
      </w:r>
      <w:r>
        <w:rPr>
          <w:bCs/>
          <w:b/>
        </w:rPr>
        <w:t xml:space="preserve">Germany Frankfurt,</w:t>
      </w:r>
      <w:r>
        <w:t xml:space="preserve">This may involve utilizing local university clean rooms or collaborating with GSI for heavy ion research insights.</w:t>
      </w:r>
    </w:p>
    <w:p>
      <w:pPr>
        <w:numPr>
          <w:ilvl w:val="0"/>
          <w:numId w:val="1001"/>
        </w:numPr>
        <w:pStyle w:val="Compact"/>
      </w:pPr>
      <w:r>
        <w:t xml:space="preserve">Data Analysis and Interpretation: Applying advanced statistical methods to analyze experimental data, ensuring high precision and reliability in our engineering outputs.</w:t>
      </w:r>
    </w:p>
    <w:p>
      <w:pPr>
        <w:numPr>
          <w:ilvl w:val="0"/>
          <w:numId w:val="1001"/>
        </w:numPr>
        <w:pStyle w:val="Compact"/>
      </w:pPr>
      <w:r>
        <w:t xml:space="preserve">Innovation Management: Identifying emerging trends in physics that could disrupt our current market position, thereby driving long-term innovation strategies. The physicist will serve as the technical lead for cross-functional teams, translating complex physical constraints into actionable engineering requirements.</w:t>
      </w:r>
    </w:p>
    <w:p>
      <w:pPr>
        <w:numPr>
          <w:ilvl w:val="0"/>
          <w:numId w:val="1001"/>
        </w:numPr>
        <w:pStyle w:val="Compact"/>
      </w:pPr>
      <w:r>
        <w:t xml:space="preserve">Regulatory and Compliance Oversight: Ensuring all experimental protocols adhere to strict European safety and environmental standards, a crucial aspect of operating within</w:t>
      </w:r>
      <w:r>
        <w:t xml:space="preserve"> </w:t>
      </w:r>
      <w:r>
        <w:rPr>
          <w:bCs/>
          <w:b/>
        </w:rPr>
        <w:t xml:space="preserve">Germany Frankfurt.</w:t>
      </w:r>
    </w:p>
    <w:p>
      <w:pPr>
        <w:pStyle w:val="FirstParagraph"/>
      </w:pPr>
      <w:r>
        <w:t xml:space="preserve">The integration of the physicist into daily operations ensures that our R&amp;D efforts are grounded in scientific rigor, reducing the risk of costly failures in later production stages.</w:t>
      </w:r>
    </w:p>
    <w:bookmarkEnd w:id="22"/>
    <w:bookmarkStart w:id="23" w:name="alignment-with-local-innovation-hubs"/>
    <w:p>
      <w:pPr>
        <w:pStyle w:val="Heading2"/>
      </w:pPr>
      <w:r>
        <w:t xml:space="preserve">4. Alignment with Local Innovation Hubs</w:t>
      </w:r>
    </w:p>
    <w:p>
      <w:pPr>
        <w:pStyle w:val="FirstParagraph"/>
      </w:pPr>
      <w:r>
        <w:t xml:space="preserve">A key component of this project is the collaboration between our internal</w:t>
      </w:r>
      <w:r>
        <w:t xml:space="preserve"> </w:t>
      </w:r>
      <w:r>
        <w:rPr>
          <w:iCs/>
          <w:i/>
        </w:rPr>
        <w:t xml:space="preserve">Physicist</w:t>
      </w:r>
      <w:r>
        <w:t xml:space="preserve">Germany Frankfurt.The city’s strong emphasis on public-private partnerships means that isolation from local academic institutions would be detrimental to our success. Therefore, the physicist will be tasked with establishing formal liaison roles with nearby research centers.</w:t>
      </w:r>
    </w:p>
    <w:p>
      <w:pPr>
        <w:pStyle w:val="BodyText"/>
      </w:pPr>
      <w:r>
        <w:t xml:space="preserve">For instance, collaboration with the Institute for Advanced Study at Goethe University could provide access to cutting-edge theoretical frameworks. Additionally, proximity to major tech hubs in</w:t>
      </w:r>
      <w:r>
        <w:t xml:space="preserve"> </w:t>
      </w:r>
      <w:r>
        <w:rPr>
          <w:bCs/>
          <w:b/>
        </w:rPr>
        <w:t xml:space="preserve">Germany Frankfurt</w:t>
      </w:r>
      <w:r>
        <w:t xml:space="preserve">, such as those found in the European Central Bank’s surrounding innovation districts or the Hessian high-tech alliance, offers networking opportunities that are vital for staying ahead of technological curves. The physicist will attend local symposiums and contribute to white papers, thereby enhancing our brand’s reputation as a scientifically grounded entity in</w:t>
      </w:r>
      <w:r>
        <w:t xml:space="preserve"> </w:t>
      </w:r>
      <w:r>
        <w:rPr>
          <w:bCs/>
          <w:b/>
        </w:rPr>
        <w:t xml:space="preserve">Germany Frankfurt.</w:t>
      </w:r>
    </w:p>
    <w:bookmarkEnd w:id="23"/>
    <w:bookmarkStart w:id="24" w:name="Xd59902cb2a44f017664558218c570f8d2d3004e"/>
    <w:p>
      <w:pPr>
        <w:pStyle w:val="Heading2"/>
      </w:pPr>
      <w:r>
        <w:t xml:space="preserve">5. Expected Outcomes and Key Performance Indicators</w:t>
      </w:r>
    </w:p>
    <w:p>
      <w:pPr>
        <w:pStyle w:val="FirstParagraph"/>
      </w:pPr>
      <w:r>
        <w:t xml:space="preserve">The success of this initiative will be measured through several key performance indicators (KPIs) outlined in this</w:t>
      </w:r>
      <w:r>
        <w:t xml:space="preserve"> </w:t>
      </w:r>
      <w:r>
        <w:rPr>
          <w:iCs/>
          <w:i/>
        </w:rPr>
        <w:t xml:space="preserve">Project Report</w:t>
      </w:r>
      <w:r>
        <w:t xml:space="preserve">:</w:t>
      </w:r>
    </w:p>
    <w:p>
      <w:pPr>
        <w:numPr>
          <w:ilvl w:val="0"/>
          <w:numId w:val="1002"/>
        </w:numPr>
        <w:pStyle w:val="Compact"/>
      </w:pPr>
      <w:r>
        <w:rPr>
          <w:bCs/>
          <w:b/>
        </w:rPr>
        <w:t xml:space="preserve">Innovation Rate:</w:t>
      </w:r>
      <w:r>
        <w:t xml:space="preserve">An increase in the number of patent applications filed specifically related to physical technologies within the first 18 months.</w:t>
      </w:r>
    </w:p>
    <w:p>
      <w:pPr>
        <w:numPr>
          <w:ilvl w:val="0"/>
          <w:numId w:val="1002"/>
        </w:numPr>
        <w:pStyle w:val="Compact"/>
      </w:pPr>
      <w:r>
        <w:t xml:space="preserve">Efficiency Gains: A measurable reduction in prototype development time by 20%, attributed to accurate early-stage physics modeling.</w:t>
      </w:r>
    </w:p>
    <w:p>
      <w:pPr>
        <w:numPr>
          <w:ilvl w:val="0"/>
          <w:numId w:val="1002"/>
        </w:numPr>
        <w:pStyle w:val="Compact"/>
      </w:pPr>
      <w:r>
        <w:t xml:space="preserve">Collaborative Output: Establishment of at least two formal research partnerships with institutions in</w:t>
      </w:r>
      <w:r>
        <w:t xml:space="preserve"> </w:t>
      </w:r>
      <w:r>
        <w:rPr>
          <w:bCs/>
          <w:b/>
        </w:rPr>
        <w:t xml:space="preserve">Germany Frankfurt</w:t>
      </w:r>
      <w:r>
        <w:t xml:space="preserve">.</w:t>
      </w:r>
    </w:p>
    <w:p>
      <w:pPr>
        <w:numPr>
          <w:ilvl w:val="0"/>
          <w:numId w:val="1000"/>
        </w:numPr>
        <w:pStyle w:val="Compact"/>
      </w:pPr>
      <w:r>
        <w:br/>
      </w:r>
    </w:p>
    <w:p>
      <w:pPr>
        <w:numPr>
          <w:ilvl w:val="0"/>
          <w:numId w:val="1002"/>
        </w:numPr>
        <w:pStyle w:val="Compact"/>
      </w:pPr>
      <w:r>
        <w:t xml:space="preserve">Talent Attraction: Using the presence of a high-profile physicist role to attract additional top-tier engineering talent to our location in</w:t>
      </w:r>
      <w:r>
        <w:t xml:space="preserve"> </w:t>
      </w:r>
      <w:r>
        <w:rPr>
          <w:bCs/>
          <w:b/>
        </w:rPr>
        <w:t xml:space="preserve">Germany Frankfurt.</w:t>
      </w:r>
    </w:p>
    <w:p>
      <w:pPr>
        <w:pStyle w:val="FirstParagraph"/>
      </w:pPr>
      <w:r>
        <w:t xml:space="preserve">These metrics ensure that the investment in the physicist role yields tangible business value, reinforcing our strategic position in a highly competitive market.</w:t>
      </w:r>
    </w:p>
    <w:bookmarkEnd w:id="24"/>
    <w:bookmarkStart w:id="25" w:name="challenges-and-mitigation-strategies"/>
    <w:p>
      <w:pPr>
        <w:pStyle w:val="Heading2"/>
      </w:pPr>
      <w:r>
        <w:t xml:space="preserve">6. Challenges and Mitigation Strategies</w:t>
      </w:r>
    </w:p>
    <w:p>
      <w:pPr>
        <w:pStyle w:val="FirstParagraph"/>
      </w:pPr>
      <w:r>
        <w:t xml:space="preserve">We acknowledge potential challenges, including the high cost of living and labor in</w:t>
      </w:r>
      <w:r>
        <w:t xml:space="preserve"> </w:t>
      </w:r>
      <w:r>
        <w:rPr>
          <w:bCs/>
          <w:b/>
        </w:rPr>
        <w:t xml:space="preserve">Germany Frankfurt,</w:t>
      </w:r>
      <w:r>
        <w:t xml:space="preserve">, which may impact recruitment. To mitigate this, we will offer competitive compensation packages that include relocation assistance and housing allowances. Additionally, language barriers may pose a challenge for international physicists; however, given that English is widely used in scientific communities in</w:t>
      </w:r>
      <w:r>
        <w:t xml:space="preserve"> </w:t>
      </w:r>
      <w:r>
        <w:rPr>
          <w:bCs/>
          <w:b/>
        </w:rPr>
        <w:t xml:space="preserve">Germany Frankfurt,</w:t>
      </w:r>
      <w:r>
        <w:t xml:space="preserve">this risk is minimized. We will provide German language courses to facilitate deeper integration with local teams and suppliers.</w:t>
      </w:r>
    </w:p>
    <w:bookmarkEnd w:id="25"/>
    <w:bookmarkStart w:id="26" w:name="conclusion"/>
    <w:p>
      <w:pPr>
        <w:pStyle w:val="Heading2"/>
      </w:pPr>
      <w:r>
        <w:t xml:space="preserve">7. Conclusion</w:t>
      </w:r>
    </w:p>
    <w:p>
      <w:pPr>
        <w:pStyle w:val="FirstParagraph"/>
      </w:pPr>
      <w:r>
        <w:t xml:space="preserve">In conclusion, this</w:t>
      </w:r>
      <w:r>
        <w:t xml:space="preserve"> </w:t>
      </w:r>
      <w:r>
        <w:rPr>
          <w:iCs/>
          <w:i/>
        </w:rPr>
        <w:t xml:space="preserve">Project Report</w:t>
      </w:r>
      <w:r>
        <w:t xml:space="preserve">Germany Frankfurt, is not only feasible but essential for future growth. By leveraging the unique scientific infrastructure of</w:t>
      </w:r>
      <w:r>
        <w:t xml:space="preserve"> </w:t>
      </w:r>
      <w:r>
        <w:rPr>
          <w:bCs/>
          <w:b/>
        </w:rPr>
        <w:t xml:space="preserve">Germany Frankfurt,</w:t>
      </w:r>
      <w:r>
        <w:t xml:space="preserve">, we can empower our physicist to drive significant advancements in technology and innovation. The synergy between high-level theoretical physics and the robust industrial ecosystem of Frankfurt creates a fertile ground for breakthrough developments. We strongly recommend proceeding with immediate recruitment efforts to secure top talent in this role, ensuring that our R&amp;D division remains at the forefront of scientific excellence.</w:t>
      </w:r>
    </w:p>
    <w:p>
      <w:pPr>
        <w:pStyle w:val="BodyText"/>
      </w:pPr>
      <w:r>
        <w:rPr>
          <w:bCs/>
          <w:b/>
        </w:rPr>
        <w:t xml:space="preserve">Prepared by:</w:t>
      </w:r>
      <w:r>
        <w:t xml:space="preserve">R&amp;D Department</w:t>
      </w:r>
      <w:r>
        <w:br/>
      </w:r>
      <w:r>
        <w:rPr>
          <w:bCs/>
          <w:b/>
        </w:rPr>
        <w:t xml:space="preserve">Approved by:</w:t>
      </w:r>
      <w:r>
        <w:t xml:space="preserve">Strategic Planning Committee</w:t>
      </w:r>
    </w:p>
    <w:p>
      <w:pPr>
        <w:pStyle w:val="BodyText"/>
      </w:pPr>
      <w:r>
        <w:t xml:space="preserve">This document serves as the official record for the strategic hiring initiative.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Physicist Role in Germany Frankfurt</dc:title>
  <dc:creator/>
  <dc:language>en</dc:language>
  <cp:keywords/>
  <dcterms:created xsi:type="dcterms:W3CDTF">2026-07-29T09:25:18Z</dcterms:created>
  <dcterms:modified xsi:type="dcterms:W3CDTF">2026-07-29T09:25:18Z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